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40"/>
        <w:jc w:val="left"/>
      </w:pPr>
      <w:r>
        <w:rPr>
          <w:rFonts w:ascii="Calibri" w:cs="Calibri" w:eastAsia="Calibri" w:hAnsi="Calibri"/>
          <w:b/>
          <w:bCs/>
          <w:caps/>
          <w:color w:val="B08D3E"/>
          <w:sz w:val="20"/>
          <w:szCs w:val="20"/>
        </w:rPr>
        <w:t xml:space="preserve">VOYAGER REAL ESTATE PARTNERS</w:t>
      </w:r>
    </w:p>
    <w:p>
      <w:pPr>
        <w:spacing w:after="40"/>
      </w:pPr>
      <w:r>
        <w:rPr>
          <w:rFonts w:ascii="Georgia" w:cs="Georgia" w:eastAsia="Georgia" w:hAnsi="Georgia"/>
          <w:b/>
          <w:bCs/>
          <w:color w:val="1B2A4A"/>
          <w:sz w:val="40"/>
          <w:szCs w:val="40"/>
        </w:rPr>
        <w:t xml:space="preserve">INVESTMENT OFFERING</w:t>
      </w:r>
    </w:p>
    <w:p>
      <w:pPr>
        <w:pBdr>
          <w:bottom w:val="single" w:color="1B2A4A" w:sz="16" w:space="6"/>
        </w:pBdr>
        <w:spacing w:after="200"/>
      </w:pPr>
      <w:r>
        <w:rPr>
          <w:rFonts w:ascii="Georgia" w:cs="Georgia" w:eastAsia="Georgia" w:hAnsi="Georgia"/>
          <w:i/>
          <w:iCs/>
          <w:color w:val="555555"/>
          <w:sz w:val="24"/>
          <w:szCs w:val="24"/>
        </w:rPr>
        <w:t xml:space="preserve">New Hope Self Storage — 5296 Highway 41A, Joelton, TN 37080</w:t>
      </w:r>
    </w:p>
    <w:tbl>
      <w:tblPr>
        <w:tblW w:type="dxa" w:w="10000"/>
        <w:tblBorders>
          <w:top w:val="single" w:color="auto" w:sz="4"/>
          <w:left w:val="single" w:color="auto" w:sz="4"/>
          <w:bottom w:val="single" w:color="auto" w:sz="4"/>
          <w:right w:val="single" w:color="auto" w:sz="4"/>
          <w:insideH w:val="single" w:color="auto" w:sz="4"/>
          <w:insideV w:val="single" w:color="auto" w:sz="4"/>
        </w:tblBorders>
      </w:tblPr>
      <w:tblGrid>
        <w:gridCol w:w="4500"/>
        <w:gridCol w:w="5500"/>
      </w:tblGrid>
      <w:tr>
        <w:tc>
          <w:tcPr>
            <w:tcW w:type="dxa" w:w="4500"/>
            <w:shd w:fill="F2F1EC" w:val="clear"/>
            <w:tcMar>
              <w:top w:type="dxa" w:w="100"/>
              <w:left w:type="dxa" w:w="150"/>
              <w:bottom w:type="dxa" w:w="100"/>
              <w:right w:type="dxa" w:w="150"/>
            </w:tcMar>
          </w:tcPr>
          <w:p>
            <w:r>
              <w:rPr>
                <w:rFonts w:ascii="Calibri" w:cs="Calibri" w:eastAsia="Calibri" w:hAnsi="Calibri"/>
                <w:b/>
                <w:bCs/>
                <w:color w:val="1B2A4A"/>
                <w:sz w:val="20"/>
                <w:szCs w:val="20"/>
              </w:rPr>
              <w:t xml:space="preserve">Asking Price</w:t>
            </w:r>
          </w:p>
        </w:tc>
        <w:tc>
          <w:tcPr>
            <w:tcW w:type="dxa" w:w="5500"/>
            <w:tcMar>
              <w:top w:type="dxa" w:w="100"/>
              <w:left w:type="dxa" w:w="150"/>
              <w:bottom w:type="dxa" w:w="100"/>
              <w:right w:type="dxa" w:w="150"/>
            </w:tcMar>
          </w:tcPr>
          <w:p>
            <w:r>
              <w:rPr>
                <w:rFonts w:ascii="Calibri" w:cs="Calibri" w:eastAsia="Calibri" w:hAnsi="Calibri"/>
                <w:color w:val="222222"/>
                <w:sz w:val="20"/>
                <w:szCs w:val="20"/>
              </w:rPr>
              <w:t xml:space="preserve">$1,200,000</w:t>
            </w:r>
          </w:p>
        </w:tc>
      </w:tr>
      <w:tr>
        <w:tc>
          <w:tcPr>
            <w:tcW w:type="dxa" w:w="4500"/>
            <w:shd w:fill="F2F1EC" w:val="clear"/>
            <w:tcMar>
              <w:top w:type="dxa" w:w="100"/>
              <w:left w:type="dxa" w:w="150"/>
              <w:bottom w:type="dxa" w:w="100"/>
              <w:right w:type="dxa" w:w="150"/>
            </w:tcMar>
          </w:tcPr>
          <w:p>
            <w:r>
              <w:rPr>
                <w:rFonts w:ascii="Calibri" w:cs="Calibri" w:eastAsia="Calibri" w:hAnsi="Calibri"/>
                <w:b/>
                <w:bCs/>
                <w:color w:val="1B2A4A"/>
                <w:sz w:val="20"/>
                <w:szCs w:val="20"/>
              </w:rPr>
              <w:t xml:space="preserve">Cap Rate</w:t>
            </w:r>
          </w:p>
        </w:tc>
        <w:tc>
          <w:tcPr>
            <w:tcW w:type="dxa" w:w="5500"/>
            <w:tcMar>
              <w:top w:type="dxa" w:w="100"/>
              <w:left w:type="dxa" w:w="150"/>
              <w:bottom w:type="dxa" w:w="100"/>
              <w:right w:type="dxa" w:w="150"/>
            </w:tcMar>
          </w:tcPr>
          <w:p>
            <w:r>
              <w:rPr>
                <w:rFonts w:ascii="Calibri" w:cs="Calibri" w:eastAsia="Calibri" w:hAnsi="Calibri"/>
                <w:color w:val="222222"/>
                <w:sz w:val="20"/>
                <w:szCs w:val="20"/>
              </w:rPr>
              <w:t xml:space="preserve">6.0% (based on forward NOI)</w:t>
            </w:r>
          </w:p>
        </w:tc>
      </w:tr>
      <w:tr>
        <w:tc>
          <w:tcPr>
            <w:tcW w:type="dxa" w:w="4500"/>
            <w:shd w:fill="F2F1EC" w:val="clear"/>
            <w:tcMar>
              <w:top w:type="dxa" w:w="100"/>
              <w:left w:type="dxa" w:w="150"/>
              <w:bottom w:type="dxa" w:w="100"/>
              <w:right w:type="dxa" w:w="150"/>
            </w:tcMar>
          </w:tcPr>
          <w:p>
            <w:r>
              <w:rPr>
                <w:rFonts w:ascii="Calibri" w:cs="Calibri" w:eastAsia="Calibri" w:hAnsi="Calibri"/>
                <w:b/>
                <w:bCs/>
                <w:color w:val="1B2A4A"/>
                <w:sz w:val="20"/>
                <w:szCs w:val="20"/>
              </w:rPr>
              <w:t xml:space="preserve">Projected NOI</w:t>
            </w:r>
          </w:p>
        </w:tc>
        <w:tc>
          <w:tcPr>
            <w:tcW w:type="dxa" w:w="5500"/>
            <w:tcMar>
              <w:top w:type="dxa" w:w="100"/>
              <w:left w:type="dxa" w:w="150"/>
              <w:bottom w:type="dxa" w:w="100"/>
              <w:right w:type="dxa" w:w="150"/>
            </w:tcMar>
          </w:tcPr>
          <w:p>
            <w:r>
              <w:rPr>
                <w:rFonts w:ascii="Calibri" w:cs="Calibri" w:eastAsia="Calibri" w:hAnsi="Calibri"/>
                <w:color w:val="222222"/>
                <w:sz w:val="20"/>
                <w:szCs w:val="20"/>
              </w:rPr>
              <w:t xml:space="preserve">$72,000 annually</w:t>
            </w:r>
          </w:p>
        </w:tc>
      </w:tr>
      <w:tr>
        <w:tc>
          <w:tcPr>
            <w:tcW w:type="dxa" w:w="4500"/>
            <w:shd w:fill="F2F1EC" w:val="clear"/>
            <w:tcMar>
              <w:top w:type="dxa" w:w="100"/>
              <w:left w:type="dxa" w:w="150"/>
              <w:bottom w:type="dxa" w:w="100"/>
              <w:right w:type="dxa" w:w="150"/>
            </w:tcMar>
          </w:tcPr>
          <w:p>
            <w:r>
              <w:rPr>
                <w:rFonts w:ascii="Calibri" w:cs="Calibri" w:eastAsia="Calibri" w:hAnsi="Calibri"/>
                <w:b/>
                <w:bCs/>
                <w:color w:val="1B2A4A"/>
                <w:sz w:val="20"/>
                <w:szCs w:val="20"/>
              </w:rPr>
              <w:t xml:space="preserve">Total Units / Spaces</w:t>
            </w:r>
          </w:p>
        </w:tc>
        <w:tc>
          <w:tcPr>
            <w:tcW w:type="dxa" w:w="5500"/>
            <w:tcMar>
              <w:top w:type="dxa" w:w="100"/>
              <w:left w:type="dxa" w:w="150"/>
              <w:bottom w:type="dxa" w:w="100"/>
              <w:right w:type="dxa" w:w="150"/>
            </w:tcMar>
          </w:tcPr>
          <w:p>
            <w:r>
              <w:rPr>
                <w:rFonts w:ascii="Calibri" w:cs="Calibri" w:eastAsia="Calibri" w:hAnsi="Calibri"/>
                <w:color w:val="222222"/>
                <w:sz w:val="20"/>
                <w:szCs w:val="20"/>
              </w:rPr>
              <w:t xml:space="preserve">74 (interior storage + outdoor RV/boat/vehicle parking)</w:t>
            </w:r>
          </w:p>
        </w:tc>
      </w:tr>
      <w:tr>
        <w:tc>
          <w:tcPr>
            <w:tcW w:type="dxa" w:w="4500"/>
            <w:shd w:fill="F2F1EC" w:val="clear"/>
            <w:tcMar>
              <w:top w:type="dxa" w:w="100"/>
              <w:left w:type="dxa" w:w="150"/>
              <w:bottom w:type="dxa" w:w="100"/>
              <w:right w:type="dxa" w:w="150"/>
            </w:tcMar>
          </w:tcPr>
          <w:p>
            <w:r>
              <w:rPr>
                <w:rFonts w:ascii="Calibri" w:cs="Calibri" w:eastAsia="Calibri" w:hAnsi="Calibri"/>
                <w:b/>
                <w:bCs/>
                <w:color w:val="1B2A4A"/>
                <w:sz w:val="20"/>
                <w:szCs w:val="20"/>
              </w:rPr>
              <w:t xml:space="preserve">Current Vacancy</w:t>
            </w:r>
          </w:p>
        </w:tc>
        <w:tc>
          <w:tcPr>
            <w:tcW w:type="dxa" w:w="5500"/>
            <w:tcMar>
              <w:top w:type="dxa" w:w="100"/>
              <w:left w:type="dxa" w:w="150"/>
              <w:bottom w:type="dxa" w:w="100"/>
              <w:right w:type="dxa" w:w="150"/>
            </w:tcMar>
          </w:tcPr>
          <w:p>
            <w:r>
              <w:rPr>
                <w:rFonts w:ascii="Calibri" w:cs="Calibri" w:eastAsia="Calibri" w:hAnsi="Calibri"/>
                <w:color w:val="222222"/>
                <w:sz w:val="20"/>
                <w:szCs w:val="20"/>
              </w:rPr>
              <w:t xml:space="preserve">7 spaces</w:t>
            </w:r>
          </w:p>
        </w:tc>
      </w:tr>
      <w:tr>
        <w:tc>
          <w:tcPr>
            <w:tcW w:type="dxa" w:w="4500"/>
            <w:shd w:fill="F2F1EC" w:val="clear"/>
            <w:tcMar>
              <w:top w:type="dxa" w:w="100"/>
              <w:left w:type="dxa" w:w="150"/>
              <w:bottom w:type="dxa" w:w="100"/>
              <w:right w:type="dxa" w:w="150"/>
            </w:tcMar>
          </w:tcPr>
          <w:p>
            <w:r>
              <w:rPr>
                <w:rFonts w:ascii="Calibri" w:cs="Calibri" w:eastAsia="Calibri" w:hAnsi="Calibri"/>
                <w:b/>
                <w:bCs/>
                <w:color w:val="1B2A4A"/>
                <w:sz w:val="20"/>
                <w:szCs w:val="20"/>
              </w:rPr>
              <w:t xml:space="preserve">Expansion Potential</w:t>
            </w:r>
          </w:p>
        </w:tc>
        <w:tc>
          <w:tcPr>
            <w:tcW w:type="dxa" w:w="5500"/>
            <w:tcMar>
              <w:top w:type="dxa" w:w="100"/>
              <w:left w:type="dxa" w:w="150"/>
              <w:bottom w:type="dxa" w:w="100"/>
              <w:right w:type="dxa" w:w="150"/>
            </w:tcMar>
          </w:tcPr>
          <w:p>
            <w:r>
              <w:rPr>
                <w:rFonts w:ascii="Calibri" w:cs="Calibri" w:eastAsia="Calibri" w:hAnsi="Calibri"/>
                <w:color w:val="222222"/>
                <w:sz w:val="20"/>
                <w:szCs w:val="20"/>
              </w:rPr>
              <w:t xml:space="preserve">Room to add 2 additional units</w:t>
            </w:r>
          </w:p>
        </w:tc>
      </w:tr>
      <w:tr>
        <w:tc>
          <w:tcPr>
            <w:tcW w:type="dxa" w:w="4500"/>
            <w:shd w:fill="F2F1EC" w:val="clear"/>
            <w:tcMar>
              <w:top w:type="dxa" w:w="100"/>
              <w:left w:type="dxa" w:w="150"/>
              <w:bottom w:type="dxa" w:w="100"/>
              <w:right w:type="dxa" w:w="150"/>
            </w:tcMar>
          </w:tcPr>
          <w:p>
            <w:r>
              <w:rPr>
                <w:rFonts w:ascii="Calibri" w:cs="Calibri" w:eastAsia="Calibri" w:hAnsi="Calibri"/>
                <w:b/>
                <w:bCs/>
                <w:color w:val="1B2A4A"/>
                <w:sz w:val="20"/>
                <w:szCs w:val="20"/>
              </w:rPr>
              <w:t xml:space="preserve">1031 Exchange</w:t>
            </w:r>
          </w:p>
        </w:tc>
        <w:tc>
          <w:tcPr>
            <w:tcW w:type="dxa" w:w="5500"/>
            <w:tcMar>
              <w:top w:type="dxa" w:w="100"/>
              <w:left w:type="dxa" w:w="150"/>
              <w:bottom w:type="dxa" w:w="100"/>
              <w:right w:type="dxa" w:w="150"/>
            </w:tcMar>
          </w:tcPr>
          <w:p>
            <w:r>
              <w:rPr>
                <w:rFonts w:ascii="Calibri" w:cs="Calibri" w:eastAsia="Calibri" w:hAnsi="Calibri"/>
                <w:color w:val="222222"/>
                <w:sz w:val="20"/>
                <w:szCs w:val="20"/>
              </w:rPr>
              <w:t xml:space="preserve">Seller requests buyer cooperation with a 1031 tax-deferred exchange</w:t>
            </w:r>
          </w:p>
        </w:tc>
      </w:tr>
      <w:tr>
        <w:tc>
          <w:tcPr>
            <w:tcW w:type="dxa" w:w="4500"/>
            <w:shd w:fill="F2F1EC" w:val="clear"/>
            <w:tcMar>
              <w:top w:type="dxa" w:w="100"/>
              <w:left w:type="dxa" w:w="150"/>
              <w:bottom w:type="dxa" w:w="100"/>
              <w:right w:type="dxa" w:w="150"/>
            </w:tcMar>
          </w:tcPr>
          <w:p>
            <w:r>
              <w:rPr>
                <w:rFonts w:ascii="Calibri" w:cs="Calibri" w:eastAsia="Calibri" w:hAnsi="Calibri"/>
                <w:b/>
                <w:bCs/>
                <w:color w:val="1B2A4A"/>
                <w:sz w:val="20"/>
                <w:szCs w:val="20"/>
              </w:rPr>
              <w:t xml:space="preserve">Broker Disclosure</w:t>
            </w:r>
          </w:p>
        </w:tc>
        <w:tc>
          <w:tcPr>
            <w:tcW w:type="dxa" w:w="5500"/>
            <w:tcMar>
              <w:top w:type="dxa" w:w="100"/>
              <w:left w:type="dxa" w:w="150"/>
              <w:bottom w:type="dxa" w:w="100"/>
              <w:right w:type="dxa" w:w="150"/>
            </w:tcMar>
          </w:tcPr>
          <w:p>
            <w:r>
              <w:rPr>
                <w:rFonts w:ascii="Calibri" w:cs="Calibri" w:eastAsia="Calibri" w:hAnsi="Calibri"/>
                <w:color w:val="222222"/>
                <w:sz w:val="20"/>
                <w:szCs w:val="20"/>
              </w:rPr>
              <w:t xml:space="preserve">Listing/selling agent (Ben Smith) holds a partial ownership interest in this property</w:t>
            </w:r>
          </w:p>
        </w:tc>
      </w:tr>
    </w:tbl>
    <w:p>
      <w:pPr>
        <w:pStyle w:val="Heading1"/>
        <w:pBdr>
          <w:bottom w:val="single" w:color="B08D3E" w:sz="6" w:space="4"/>
        </w:pBdr>
        <w:spacing w:after="140" w:before="320"/>
      </w:pPr>
      <w:r>
        <w:rPr>
          <w:rFonts w:ascii="Georgia" w:cs="Georgia" w:eastAsia="Georgia" w:hAnsi="Georgia"/>
          <w:b/>
          <w:bCs/>
          <w:color w:val="1B2A4A"/>
          <w:sz w:val="24"/>
          <w:szCs w:val="24"/>
        </w:rPr>
        <w:t xml:space="preserve">EXECUTIVE SUMMARY</w:t>
      </w:r>
    </w:p>
    <w:p>
      <w:pPr>
        <w:spacing w:after="160" w:line="276"/>
      </w:pPr>
      <w:r>
        <w:rPr>
          <w:rFonts w:ascii="Calibri" w:cs="Calibri" w:eastAsia="Calibri" w:hAnsi="Calibri"/>
          <w:color w:val="222222"/>
          <w:sz w:val="21"/>
          <w:szCs w:val="21"/>
        </w:rPr>
        <w:t xml:space="preserve">New Hope Self Storage is a well-maintained, income-producing self-storage and outdoor parking facility located at 5296 Highway 41A (Clarksville Highway) in Joelton, Tennessee, just north of Nashville along the Highway 41A corridor. The property offers a rare opportunity to acquire a stabilized, low-maintenance storage asset at a 6.0% cap rate on forward NOI, with a straightforward path to increased income through lease-up of current vacancy and modest expansion.</w:t>
      </w:r>
    </w:p>
    <w:p>
      <w:pPr>
        <w:spacing w:after="160" w:line="276"/>
      </w:pPr>
      <w:r>
        <w:rPr>
          <w:rFonts w:ascii="Calibri" w:cs="Calibri" w:eastAsia="Calibri" w:hAnsi="Calibri"/>
          <w:color w:val="222222"/>
          <w:sz w:val="21"/>
          <w:szCs w:val="21"/>
        </w:rPr>
        <w:t xml:space="preserve">The facility combines interior drive-up storage units with outdoor uncovered parking for RVs, boats, and vehicles — a flexible mix that has proven durable demand from the surrounding Joelton, Whites Creek, Pleasant View, Ashland City, Ridgetop, Goodlettsville, and Coopertown communities.</w:t>
      </w:r>
    </w:p>
    <w:p>
      <w:pPr>
        <w:pStyle w:val="Heading1"/>
        <w:pBdr>
          <w:bottom w:val="single" w:color="B08D3E" w:sz="6" w:space="4"/>
        </w:pBdr>
        <w:spacing w:after="140" w:before="320"/>
      </w:pPr>
      <w:r>
        <w:rPr>
          <w:rFonts w:ascii="Georgia" w:cs="Georgia" w:eastAsia="Georgia" w:hAnsi="Georgia"/>
          <w:b/>
          <w:bCs/>
          <w:color w:val="1B2A4A"/>
          <w:sz w:val="24"/>
          <w:szCs w:val="24"/>
        </w:rPr>
        <w:t xml:space="preserve">INVESTMENT HIGHLIGHTS</w:t>
      </w:r>
    </w:p>
    <w:p>
      <w:pPr>
        <w:pStyle w:val="ListParagraph"/>
        <w:numPr>
          <w:ilvl w:val="0"/>
          <w:numId w:val="1"/>
        </w:numPr>
        <w:spacing w:after="90"/>
      </w:pPr>
      <w:r>
        <w:rPr>
          <w:rFonts w:ascii="Calibri" w:cs="Calibri" w:eastAsia="Calibri" w:hAnsi="Calibri"/>
          <w:color w:val="222222"/>
          <w:sz w:val="21"/>
          <w:szCs w:val="21"/>
        </w:rPr>
        <w:t xml:space="preserve">Attractive 6.0% cap rate on $1,200,000 asking price against $72,000 in projected annual NOI</w:t>
      </w:r>
    </w:p>
    <w:p>
      <w:pPr>
        <w:pStyle w:val="ListParagraph"/>
        <w:numPr>
          <w:ilvl w:val="0"/>
          <w:numId w:val="1"/>
        </w:numPr>
        <w:spacing w:after="90"/>
      </w:pPr>
      <w:r>
        <w:rPr>
          <w:rFonts w:ascii="Calibri" w:cs="Calibri" w:eastAsia="Calibri" w:hAnsi="Calibri"/>
          <w:color w:val="222222"/>
          <w:sz w:val="21"/>
          <w:szCs w:val="21"/>
        </w:rPr>
        <w:t xml:space="preserve">Excellent first-time or entry-level real estate investment — simple asset class, minimal capital expenditure, and low day-to-day management burden</w:t>
      </w:r>
    </w:p>
    <w:p>
      <w:pPr>
        <w:pStyle w:val="ListParagraph"/>
        <w:numPr>
          <w:ilvl w:val="0"/>
          <w:numId w:val="1"/>
        </w:numPr>
        <w:spacing w:after="90"/>
      </w:pPr>
      <w:r>
        <w:rPr>
          <w:rFonts w:ascii="Calibri" w:cs="Calibri" w:eastAsia="Calibri" w:hAnsi="Calibri"/>
          <w:color w:val="222222"/>
          <w:sz w:val="21"/>
          <w:szCs w:val="21"/>
        </w:rPr>
        <w:t xml:space="preserve">Very low-touch operation: fully remote-capable management via integrated technology stack</w:t>
      </w:r>
    </w:p>
    <w:p>
      <w:pPr>
        <w:pStyle w:val="ListParagraph"/>
        <w:numPr>
          <w:ilvl w:val="0"/>
          <w:numId w:val="1"/>
        </w:numPr>
        <w:spacing w:after="90"/>
      </w:pPr>
      <w:r>
        <w:rPr>
          <w:rFonts w:ascii="Calibri" w:cs="Calibri" w:eastAsia="Calibri" w:hAnsi="Calibri"/>
          <w:color w:val="222222"/>
          <w:sz w:val="21"/>
          <w:szCs w:val="21"/>
        </w:rPr>
        <w:t xml:space="preserve">74 total rentable storage units and parking spaces with only 7 current vacancies — near-stabilized occupancy with immediate upside</w:t>
      </w:r>
    </w:p>
    <w:p>
      <w:pPr>
        <w:pStyle w:val="ListParagraph"/>
        <w:numPr>
          <w:ilvl w:val="0"/>
          <w:numId w:val="1"/>
        </w:numPr>
        <w:spacing w:after="90"/>
      </w:pPr>
      <w:r>
        <w:rPr>
          <w:rFonts w:ascii="Calibri" w:cs="Calibri" w:eastAsia="Calibri" w:hAnsi="Calibri"/>
          <w:color w:val="222222"/>
          <w:sz w:val="21"/>
          <w:szCs w:val="21"/>
        </w:rPr>
        <w:t xml:space="preserve">Site plan allows for two additional units to be added, providing organic upside without acquiring adjacent land</w:t>
      </w:r>
    </w:p>
    <w:p>
      <w:pPr>
        <w:pStyle w:val="ListParagraph"/>
        <w:numPr>
          <w:ilvl w:val="0"/>
          <w:numId w:val="1"/>
        </w:numPr>
        <w:spacing w:after="90"/>
      </w:pPr>
      <w:r>
        <w:rPr>
          <w:rFonts w:ascii="Calibri" w:cs="Calibri" w:eastAsia="Calibri" w:hAnsi="Calibri"/>
          <w:color w:val="222222"/>
          <w:sz w:val="21"/>
          <w:szCs w:val="21"/>
        </w:rPr>
        <w:t xml:space="preserve">Modern operating infrastructure: full security camera system, StorEdge property management/operating software, and an automated gate access system enabling complete remote operations</w:t>
      </w:r>
    </w:p>
    <w:p>
      <w:pPr>
        <w:pStyle w:val="ListParagraph"/>
        <w:numPr>
          <w:ilvl w:val="0"/>
          <w:numId w:val="1"/>
        </w:numPr>
        <w:spacing w:after="90"/>
      </w:pPr>
      <w:r>
        <w:rPr>
          <w:rFonts w:ascii="Calibri" w:cs="Calibri" w:eastAsia="Calibri" w:hAnsi="Calibri"/>
          <w:color w:val="222222"/>
          <w:sz w:val="21"/>
          <w:szCs w:val="21"/>
        </w:rPr>
        <w:t xml:space="preserve">Fully fenced and gated site with controlled access hours (7 AM – 9 PM, 365 days/year) supports strong security and tenant satisfaction</w:t>
      </w:r>
    </w:p>
    <w:p>
      <w:pPr>
        <w:pStyle w:val="ListParagraph"/>
        <w:numPr>
          <w:ilvl w:val="0"/>
          <w:numId w:val="1"/>
        </w:numPr>
        <w:spacing w:after="90"/>
      </w:pPr>
      <w:r>
        <w:rPr>
          <w:rFonts w:ascii="Calibri" w:cs="Calibri" w:eastAsia="Calibri" w:hAnsi="Calibri"/>
          <w:color w:val="222222"/>
          <w:sz w:val="21"/>
          <w:szCs w:val="21"/>
        </w:rPr>
        <w:t xml:space="preserve">Seller will require the ability to structure the transaction as part of a 1031 tax-deferred exchange</w:t>
      </w:r>
    </w:p>
    <w:p>
      <w:pPr>
        <w:pStyle w:val="Heading1"/>
        <w:pBdr>
          <w:bottom w:val="single" w:color="B08D3E" w:sz="6" w:space="4"/>
        </w:pBdr>
        <w:spacing w:after="140" w:before="320"/>
      </w:pPr>
      <w:r>
        <w:rPr>
          <w:rFonts w:ascii="Georgia" w:cs="Georgia" w:eastAsia="Georgia" w:hAnsi="Georgia"/>
          <w:b/>
          <w:bCs/>
          <w:color w:val="1B2A4A"/>
          <w:sz w:val="24"/>
          <w:szCs w:val="24"/>
        </w:rPr>
        <w:t xml:space="preserve">PROPERTY OVERVIEW</w:t>
      </w:r>
    </w:p>
    <w:p>
      <w:pPr>
        <w:spacing w:after="160" w:line="276"/>
      </w:pPr>
      <w:r>
        <w:rPr>
          <w:rFonts w:ascii="Calibri" w:cs="Calibri" w:eastAsia="Calibri" w:hAnsi="Calibri"/>
          <w:color w:val="222222"/>
          <w:sz w:val="21"/>
          <w:szCs w:val="21"/>
        </w:rPr>
        <w:t xml:space="preserve">The facility offers a mix of interior, drive-up-accessible storage units and uncovered outdoor parking spaces suited for boats, RVs, trailers, and vehicles. The site is fully fenced and gated, with 24/7 video surveillance and a state-of-the-art electronic gate operator integrated with the property's StorEdge software platform. This technology stack allows an owner or manager to run leasing, gate access, billing, and security remotely, with minimal on-site staffing required — making the asset well suited to an out-of-area or passive owner.</w:t>
      </w:r>
    </w:p>
    <w:p>
      <w:pPr>
        <w:spacing w:after="160" w:line="276"/>
      </w:pPr>
      <w:r>
        <w:rPr>
          <w:rFonts w:ascii="Calibri" w:cs="Calibri" w:eastAsia="Calibri" w:hAnsi="Calibri"/>
          <w:color w:val="222222"/>
          <w:sz w:val="21"/>
          <w:szCs w:val="21"/>
        </w:rPr>
        <w:t xml:space="preserve">Of the 74 total units and spaces on site, 7 are currently vacant, representing immediate lease-up upside for a new owner. The property also has room to add two additional storage units, offering a low-cost avenue to grow the rent roll beyond current capacity.</w:t>
      </w:r>
    </w:p>
    <w:p>
      <w:pPr>
        <w:pStyle w:val="Heading1"/>
        <w:pBdr>
          <w:bottom w:val="single" w:color="B08D3E" w:sz="6" w:space="4"/>
        </w:pBdr>
        <w:spacing w:after="140" w:before="320"/>
      </w:pPr>
      <w:r>
        <w:rPr>
          <w:rFonts w:ascii="Georgia" w:cs="Georgia" w:eastAsia="Georgia" w:hAnsi="Georgia"/>
          <w:b/>
          <w:bCs/>
          <w:color w:val="1B2A4A"/>
          <w:sz w:val="24"/>
          <w:szCs w:val="24"/>
        </w:rPr>
        <w:t xml:space="preserve">FINANCIAL SUMMARY</w:t>
      </w:r>
    </w:p>
    <w:tbl>
      <w:tblPr>
        <w:tblW w:type="dxa" w:w="10000"/>
        <w:tblBorders>
          <w:top w:val="single" w:color="auto" w:sz="4"/>
          <w:left w:val="single" w:color="auto" w:sz="4"/>
          <w:bottom w:val="single" w:color="auto" w:sz="4"/>
          <w:right w:val="single" w:color="auto" w:sz="4"/>
          <w:insideH w:val="single" w:color="auto" w:sz="4"/>
          <w:insideV w:val="single" w:color="auto" w:sz="4"/>
        </w:tblBorders>
      </w:tblPr>
      <w:tblGrid>
        <w:gridCol w:w="5000"/>
        <w:gridCol w:w="5000"/>
      </w:tblGrid>
      <w:tr>
        <w:tc>
          <w:tcPr>
            <w:tcW w:type="dxa" w:w="4500"/>
            <w:shd w:fill="F2F1EC" w:val="clear"/>
            <w:tcMar>
              <w:top w:type="dxa" w:w="100"/>
              <w:left w:type="dxa" w:w="150"/>
              <w:bottom w:type="dxa" w:w="100"/>
              <w:right w:type="dxa" w:w="150"/>
            </w:tcMar>
          </w:tcPr>
          <w:p>
            <w:r>
              <w:rPr>
                <w:rFonts w:ascii="Calibri" w:cs="Calibri" w:eastAsia="Calibri" w:hAnsi="Calibri"/>
                <w:b/>
                <w:bCs/>
                <w:color w:val="1B2A4A"/>
                <w:sz w:val="20"/>
                <w:szCs w:val="20"/>
              </w:rPr>
              <w:t xml:space="preserve">Asking Price</w:t>
            </w:r>
          </w:p>
        </w:tc>
        <w:tc>
          <w:tcPr>
            <w:tcW w:type="dxa" w:w="5500"/>
            <w:tcMar>
              <w:top w:type="dxa" w:w="100"/>
              <w:left w:type="dxa" w:w="150"/>
              <w:bottom w:type="dxa" w:w="100"/>
              <w:right w:type="dxa" w:w="150"/>
            </w:tcMar>
          </w:tcPr>
          <w:p>
            <w:r>
              <w:rPr>
                <w:rFonts w:ascii="Calibri" w:cs="Calibri" w:eastAsia="Calibri" w:hAnsi="Calibri"/>
                <w:color w:val="222222"/>
                <w:sz w:val="20"/>
                <w:szCs w:val="20"/>
              </w:rPr>
              <w:t xml:space="preserve">$1,200,000</w:t>
            </w:r>
          </w:p>
        </w:tc>
      </w:tr>
      <w:tr>
        <w:tc>
          <w:tcPr>
            <w:tcW w:type="dxa" w:w="4500"/>
            <w:shd w:fill="F2F1EC" w:val="clear"/>
            <w:tcMar>
              <w:top w:type="dxa" w:w="100"/>
              <w:left w:type="dxa" w:w="150"/>
              <w:bottom w:type="dxa" w:w="100"/>
              <w:right w:type="dxa" w:w="150"/>
            </w:tcMar>
          </w:tcPr>
          <w:p>
            <w:r>
              <w:rPr>
                <w:rFonts w:ascii="Calibri" w:cs="Calibri" w:eastAsia="Calibri" w:hAnsi="Calibri"/>
                <w:b/>
                <w:bCs/>
                <w:color w:val="1B2A4A"/>
                <w:sz w:val="20"/>
                <w:szCs w:val="20"/>
              </w:rPr>
              <w:t xml:space="preserve">Projected Annual NOI</w:t>
            </w:r>
          </w:p>
        </w:tc>
        <w:tc>
          <w:tcPr>
            <w:tcW w:type="dxa" w:w="5500"/>
            <w:tcMar>
              <w:top w:type="dxa" w:w="100"/>
              <w:left w:type="dxa" w:w="150"/>
              <w:bottom w:type="dxa" w:w="100"/>
              <w:right w:type="dxa" w:w="150"/>
            </w:tcMar>
          </w:tcPr>
          <w:p>
            <w:r>
              <w:rPr>
                <w:rFonts w:ascii="Calibri" w:cs="Calibri" w:eastAsia="Calibri" w:hAnsi="Calibri"/>
                <w:color w:val="222222"/>
                <w:sz w:val="20"/>
                <w:szCs w:val="20"/>
              </w:rPr>
              <w:t xml:space="preserve">$72,000</w:t>
            </w:r>
          </w:p>
        </w:tc>
      </w:tr>
      <w:tr>
        <w:tc>
          <w:tcPr>
            <w:tcW w:type="dxa" w:w="4500"/>
            <w:shd w:fill="F2F1EC" w:val="clear"/>
            <w:tcMar>
              <w:top w:type="dxa" w:w="100"/>
              <w:left w:type="dxa" w:w="150"/>
              <w:bottom w:type="dxa" w:w="100"/>
              <w:right w:type="dxa" w:w="150"/>
            </w:tcMar>
          </w:tcPr>
          <w:p>
            <w:r>
              <w:rPr>
                <w:rFonts w:ascii="Calibri" w:cs="Calibri" w:eastAsia="Calibri" w:hAnsi="Calibri"/>
                <w:b/>
                <w:bCs/>
                <w:color w:val="1B2A4A"/>
                <w:sz w:val="20"/>
                <w:szCs w:val="20"/>
              </w:rPr>
              <w:t xml:space="preserve">Cap Rate</w:t>
            </w:r>
          </w:p>
        </w:tc>
        <w:tc>
          <w:tcPr>
            <w:tcW w:type="dxa" w:w="5500"/>
            <w:tcMar>
              <w:top w:type="dxa" w:w="100"/>
              <w:left w:type="dxa" w:w="150"/>
              <w:bottom w:type="dxa" w:w="100"/>
              <w:right w:type="dxa" w:w="150"/>
            </w:tcMar>
          </w:tcPr>
          <w:p>
            <w:r>
              <w:rPr>
                <w:rFonts w:ascii="Calibri" w:cs="Calibri" w:eastAsia="Calibri" w:hAnsi="Calibri"/>
                <w:color w:val="222222"/>
                <w:sz w:val="20"/>
                <w:szCs w:val="20"/>
              </w:rPr>
              <w:t xml:space="preserve">6.0%</w:t>
            </w:r>
          </w:p>
        </w:tc>
      </w:tr>
      <w:tr>
        <w:tc>
          <w:tcPr>
            <w:tcW w:type="dxa" w:w="4500"/>
            <w:shd w:fill="F2F1EC" w:val="clear"/>
            <w:tcMar>
              <w:top w:type="dxa" w:w="100"/>
              <w:left w:type="dxa" w:w="150"/>
              <w:bottom w:type="dxa" w:w="100"/>
              <w:right w:type="dxa" w:w="150"/>
            </w:tcMar>
          </w:tcPr>
          <w:p>
            <w:r>
              <w:rPr>
                <w:rFonts w:ascii="Calibri" w:cs="Calibri" w:eastAsia="Calibri" w:hAnsi="Calibri"/>
                <w:b/>
                <w:bCs/>
                <w:color w:val="1B2A4A"/>
                <w:sz w:val="20"/>
                <w:szCs w:val="20"/>
              </w:rPr>
              <w:t xml:space="preserve">Price per Unit/Space (74 total)</w:t>
            </w:r>
          </w:p>
        </w:tc>
        <w:tc>
          <w:tcPr>
            <w:tcW w:type="dxa" w:w="5500"/>
            <w:tcMar>
              <w:top w:type="dxa" w:w="100"/>
              <w:left w:type="dxa" w:w="150"/>
              <w:bottom w:type="dxa" w:w="100"/>
              <w:right w:type="dxa" w:w="150"/>
            </w:tcMar>
          </w:tcPr>
          <w:p>
            <w:r>
              <w:rPr>
                <w:rFonts w:ascii="Calibri" w:cs="Calibri" w:eastAsia="Calibri" w:hAnsi="Calibri"/>
                <w:color w:val="222222"/>
                <w:sz w:val="20"/>
                <w:szCs w:val="20"/>
              </w:rPr>
              <w:t xml:space="preserve">≈ $16,200</w:t>
            </w:r>
          </w:p>
        </w:tc>
      </w:tr>
    </w:tbl>
    <w:p>
      <w:pPr>
        <w:spacing w:before="160"/>
      </w:pPr>
    </w:p>
    <w:p>
      <w:pPr>
        <w:spacing w:after="160" w:line="276"/>
      </w:pPr>
      <w:r>
        <w:rPr>
          <w:rFonts w:ascii="Calibri" w:cs="Calibri" w:eastAsia="Calibri" w:hAnsi="Calibri"/>
          <w:color w:val="222222"/>
          <w:sz w:val="21"/>
          <w:szCs w:val="21"/>
        </w:rPr>
        <w:t xml:space="preserve">NOI figures reflect forward-looking projections provided by ownership. Buyers should perform independent due diligence to verify all income, expense, and occupancy figures.</w:t>
      </w:r>
    </w:p>
    <w:p>
      <w:pPr>
        <w:pStyle w:val="Heading1"/>
        <w:pBdr>
          <w:bottom w:val="single" w:color="B08D3E" w:sz="6" w:space="4"/>
        </w:pBdr>
        <w:spacing w:after="140" w:before="320"/>
      </w:pPr>
      <w:r>
        <w:rPr>
          <w:rFonts w:ascii="Georgia" w:cs="Georgia" w:eastAsia="Georgia" w:hAnsi="Georgia"/>
          <w:b/>
          <w:bCs/>
          <w:color w:val="1B2A4A"/>
          <w:sz w:val="24"/>
          <w:szCs w:val="24"/>
        </w:rPr>
        <w:t xml:space="preserve">LOCATION</w:t>
      </w:r>
    </w:p>
    <w:p>
      <w:pPr>
        <w:spacing w:after="160" w:line="276"/>
      </w:pPr>
      <w:r>
        <w:rPr>
          <w:rFonts w:ascii="Calibri" w:cs="Calibri" w:eastAsia="Calibri" w:hAnsi="Calibri"/>
          <w:color w:val="222222"/>
          <w:sz w:val="21"/>
          <w:szCs w:val="21"/>
        </w:rPr>
        <w:t xml:space="preserve">Joelton is located in northwest Davidson County along the Highway 41A / Clarksville Highway corridor, providing convenient access to Nashville, Whites Creek, Pleasant View, Ashland City, Ridgetop, Goodlettsville, Coopertown, and Chapmansboro — a broad, storage-hungry trade area with limited nearby self-storage competition.</w:t>
      </w:r>
    </w:p>
    <w:p>
      <w:pPr>
        <w:pStyle w:val="Heading1"/>
        <w:pBdr>
          <w:bottom w:val="single" w:color="B08D3E" w:sz="6" w:space="4"/>
        </w:pBdr>
        <w:spacing w:after="140" w:before="320"/>
      </w:pPr>
      <w:r>
        <w:rPr>
          <w:rFonts w:ascii="Georgia" w:cs="Georgia" w:eastAsia="Georgia" w:hAnsi="Georgia"/>
          <w:b/>
          <w:bCs/>
          <w:color w:val="1B2A4A"/>
          <w:sz w:val="24"/>
          <w:szCs w:val="24"/>
        </w:rPr>
        <w:t xml:space="preserve">CONTACT</w:t>
      </w:r>
    </w:p>
    <w:p>
      <w:pPr>
        <w:spacing w:after="160" w:line="276"/>
      </w:pPr>
      <w:r>
        <w:rPr>
          <w:rFonts w:ascii="Calibri" w:cs="Calibri" w:eastAsia="Calibri" w:hAnsi="Calibri"/>
          <w:b w:val="false"/>
          <w:bCs w:val="false"/>
          <w:color w:val="222222"/>
          <w:sz w:val="21"/>
          <w:szCs w:val="21"/>
        </w:rPr>
        <w:t xml:space="preserve">For financial details, due diligence materials, or to schedule a property tour, please contact:</w:t>
      </w:r>
    </w:p>
    <w:p>
      <w:pPr>
        <w:spacing w:after="30"/>
      </w:pPr>
      <w:r>
        <w:rPr>
          <w:rFonts w:ascii="Calibri" w:cs="Calibri" w:eastAsia="Calibri" w:hAnsi="Calibri"/>
          <w:b/>
          <w:bCs/>
          <w:color w:val="1B2A4A"/>
          <w:sz w:val="22"/>
          <w:szCs w:val="22"/>
        </w:rPr>
        <w:t xml:space="preserve">Ben Smith</w:t>
      </w:r>
    </w:p>
    <w:p>
      <w:pPr>
        <w:spacing w:after="30"/>
      </w:pPr>
      <w:r>
        <w:rPr>
          <w:rFonts w:ascii="Calibri" w:cs="Calibri" w:eastAsia="Calibri" w:hAnsi="Calibri"/>
          <w:color w:val="222222"/>
          <w:sz w:val="21"/>
          <w:szCs w:val="21"/>
        </w:rPr>
        <w:t xml:space="preserve">Voyager Real Estate Partners</w:t>
      </w:r>
    </w:p>
    <w:p>
      <w:pPr>
        <w:spacing w:after="30"/>
      </w:pPr>
      <w:r>
        <w:rPr>
          <w:rFonts w:ascii="Calibri" w:cs="Calibri" w:eastAsia="Calibri" w:hAnsi="Calibri"/>
          <w:color w:val="222222"/>
          <w:sz w:val="21"/>
          <w:szCs w:val="21"/>
        </w:rPr>
        <w:t xml:space="preserve">Office: 615-988-1625   |   Mobile: 925-818-0187</w:t>
      </w:r>
    </w:p>
    <w:p>
      <w:pPr>
        <w:spacing w:after="30"/>
      </w:pPr>
      <w:r>
        <w:rPr>
          <w:rFonts w:ascii="Calibri" w:cs="Calibri" w:eastAsia="Calibri" w:hAnsi="Calibri"/>
          <w:color w:val="222222"/>
          <w:sz w:val="21"/>
          <w:szCs w:val="21"/>
        </w:rPr>
        <w:t xml:space="preserve">Email: ben@voyagerrep.com</w:t>
      </w:r>
    </w:p>
    <w:p>
      <w:pPr>
        <w:spacing w:before="220"/>
      </w:pPr>
      <w:r>
        <w:rPr>
          <w:rFonts w:ascii="Calibri" w:cs="Calibri" w:eastAsia="Calibri" w:hAnsi="Calibri"/>
          <w:b/>
          <w:bCs/>
          <w:i/>
          <w:iCs/>
          <w:color w:val="1B2A4A"/>
          <w:sz w:val="17"/>
          <w:szCs w:val="17"/>
        </w:rPr>
        <w:t xml:space="preserve">Disclosure: Ben Smith, the listing/selling agent, holds a partial ownership interest in this property.</w:t>
      </w:r>
    </w:p>
    <w:p>
      <w:pPr>
        <w:spacing w:before="60"/>
      </w:pPr>
      <w:r>
        <w:rPr>
          <w:rFonts w:ascii="Calibri" w:cs="Calibri" w:eastAsia="Calibri" w:hAnsi="Calibri"/>
          <w:i/>
          <w:iCs/>
          <w:color w:val="555555"/>
          <w:sz w:val="16"/>
          <w:szCs w:val="16"/>
        </w:rPr>
        <w:t xml:space="preserve">This offering is subject to prior sale, price change, or withdrawal without notice. Information contained herein has been obtained from sources believed reliable but is not guaranteed and should be independently verified.</w:t>
      </w:r>
    </w:p>
    <w:sectPr>
      <w:pgSz w:w="12240" w:h="15840" w:orient="portrait"/>
      <w:pgMar w:top="900" w:right="1080" w:bottom="900" w:left="108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2026-08-06T19:39:06.140Z</dcterms:created>
  <dcterms:modified xsi:type="dcterms:W3CDTF">2026-08-06T19:39:06.141Z</dcterms:modified>
</cp:coreProperties>
</file>

<file path=docProps/custom.xml><?xml version="1.0" encoding="utf-8"?>
<Properties xmlns="http://schemas.openxmlformats.org/officeDocument/2006/custom-properties" xmlns:vt="http://schemas.openxmlformats.org/officeDocument/2006/docPropsVTypes"/>
</file>