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4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40"/>
      </w:tblGrid>
      <w:tr>
        <w:tc>
          <w:tcPr>
            <w:tcW w:type="dxa" w:w="10440"/>
            <w:shd w:fill="1F2A3D" w:val="clear"/>
            <w:tcMar>
              <w:top w:type="dxa" w:w="260"/>
              <w:left w:type="dxa" w:w="320"/>
              <w:bottom w:type="dxa" w:w="220"/>
              <w:right w:type="dxa" w:w="320"/>
            </w:tcMar>
          </w:tcPr>
          <w:p>
            <w:pPr>
              <w:spacing w:after="6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44"/>
                <w:szCs w:val="44"/>
              </w:rPr>
              <w:t xml:space="preserve">OFFICE SUITES FOR LEASE</w:t>
            </w:r>
          </w:p>
          <w:p>
            <w:pPr>
              <w:spacing w:after="40"/>
              <w:jc w:val="center"/>
            </w:pPr>
            <w:r>
              <w:rPr>
                <w:rFonts w:ascii="Calibri" w:cs="Calibri" w:eastAsia="Calibri" w:hAnsi="Calibri"/>
                <w:color w:val="9C7A3C"/>
                <w:spacing w:val="12"/>
                <w:sz w:val="23"/>
                <w:szCs w:val="23"/>
              </w:rPr>
              <w:t xml:space="preserve">CONTACT AGENT FOR VIEWING</w:t>
            </w:r>
          </w:p>
          <w:p>
            <w:pPr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F4F2ED"/>
                <w:spacing w:val="16"/>
                <w:sz w:val="18"/>
                <w:szCs w:val="18"/>
              </w:rPr>
              <w:t xml:space="preserve">AVAILABLE IMMEDIATELY  ·  8 PRIVATE SUITES  ·  FROM $310/MONTH</w:t>
            </w:r>
          </w:p>
        </w:tc>
      </w:tr>
    </w:tbl>
    <w:p>
      <w:pPr>
        <w:spacing w:after="160" w:before="220"/>
      </w:pPr>
      <w:r>
        <w:rPr>
          <w:rFonts w:ascii="Calibri" w:cs="Calibri" w:eastAsia="Calibri" w:hAnsi="Calibri"/>
          <w:color w:val="2B2B2B"/>
          <w:sz w:val="20"/>
          <w:szCs w:val="20"/>
        </w:rPr>
        <w:t xml:space="preserve">Private, lockable offices in a professional executive suite on a high-traffic stretch of Horizon Drive — anchored by Southern Nevada Health District, Allstate Insurance, a dental office, and a medical office. Ideal for therapists, massage &amp; wellness practitioners, real estate and loan professionals, small medical or retail businesses, startups, and independent professionals of nearly any kind.</w:t>
      </w:r>
    </w:p>
    <w:tbl>
      <w:tblPr>
        <w:tblW w:type="dxa" w:w="104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20"/>
        <w:gridCol w:w="5220"/>
      </w:tblGrid>
      <w:tr>
        <w:tc>
          <w:tcPr>
            <w:tcW w:type="dxa" w:w="5220"/>
            <w:tcMar>
              <w:top w:type="dxa" w:w="60"/>
              <w:left w:type="dxa" w:w="60"/>
              <w:bottom w:type="dxa" w:w="60"/>
              <w:right w:type="dxa" w:w="60"/>
            </w:tcMar>
          </w:tcPr>
          <w:p>
            <w:pPr>
              <w:jc w:val="center"/>
            </w:pPr>
            <w:r>
              <w:drawing>
                <wp:inline distT="0" distB="0" distL="0" distR="0">
                  <wp:extent cx="1809750" cy="25336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53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220"/>
            <w:tcMar>
              <w:top w:type="dxa" w:w="60"/>
              <w:left w:type="dxa" w:w="60"/>
              <w:bottom w:type="dxa" w:w="60"/>
              <w:right w:type="dxa" w:w="60"/>
            </w:tcMar>
          </w:tcPr>
          <w:p>
            <w:pPr>
              <w:jc w:val="center"/>
            </w:pPr>
            <w:r>
              <w:drawing>
                <wp:inline distT="0" distB="0" distL="0" distR="0">
                  <wp:extent cx="1809750" cy="24384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220"/>
            <w:tcMar>
              <w:top w:type="dxa" w:w="60"/>
              <w:left w:type="dxa" w:w="60"/>
              <w:bottom w:type="dxa" w:w="60"/>
              <w:right w:type="dxa" w:w="60"/>
            </w:tcMar>
          </w:tcPr>
          <w:p>
            <w:pPr>
              <w:jc w:val="center"/>
            </w:pPr>
            <w:r>
              <w:drawing>
                <wp:inline distT="0" distB="0" distL="0" distR="0">
                  <wp:extent cx="1809750" cy="24384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220"/>
            <w:tcMar>
              <w:top w:type="dxa" w:w="60"/>
              <w:left w:type="dxa" w:w="60"/>
              <w:bottom w:type="dxa" w:w="60"/>
              <w:right w:type="dxa" w:w="60"/>
            </w:tcMar>
          </w:tcPr>
          <w:p>
            <w:pPr>
              <w:jc w:val="center"/>
            </w:pPr>
            <w:r>
              <w:drawing>
                <wp:inline distT="0" distB="0" distL="0" distR="0">
                  <wp:extent cx="1809750" cy="254317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543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200"/>
      </w:pPr>
    </w:p>
    <w:tbl>
      <w:tblPr>
        <w:tblW w:type="dxa" w:w="104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1500"/>
        <w:gridCol w:w="4200"/>
        <w:gridCol w:w="1900"/>
      </w:tblGrid>
      <w:tr>
        <w:trPr>
          <w:tblHeader/>
        </w:trPr>
        <w:tc>
          <w:tcPr>
            <w:tcW w:type="dxa" w:w="900"/>
            <w:shd w:fill="1F2A3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7"/>
                <w:szCs w:val="17"/>
              </w:rPr>
              <w:t xml:space="preserve">Suite</w:t>
            </w:r>
          </w:p>
        </w:tc>
        <w:tc>
          <w:tcPr>
            <w:tcW w:type="dxa" w:w="1500"/>
            <w:shd w:fill="1F2A3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7"/>
                <w:szCs w:val="17"/>
              </w:rPr>
              <w:t xml:space="preserve">Size</w:t>
            </w:r>
          </w:p>
        </w:tc>
        <w:tc>
          <w:tcPr>
            <w:tcW w:type="dxa" w:w="4200"/>
            <w:shd w:fill="1F2A3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7"/>
                <w:szCs w:val="17"/>
              </w:rPr>
              <w:t xml:space="preserve">Description</w:t>
            </w:r>
          </w:p>
        </w:tc>
        <w:tc>
          <w:tcPr>
            <w:tcW w:type="dxa" w:w="1900"/>
            <w:shd w:fill="1F2A3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7"/>
                <w:szCs w:val="17"/>
              </w:rPr>
              <w:t xml:space="preserve">Monthly</w:t>
            </w:r>
          </w:p>
        </w:tc>
      </w:tr>
      <w:tr>
        <w:tc>
          <w:tcPr>
            <w:tcW w:type="dxa" w:w="9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B2B2B"/>
                <w:sz w:val="17"/>
                <w:szCs w:val="17"/>
              </w:rPr>
              <w:t xml:space="preserve">1</w:t>
            </w:r>
          </w:p>
        </w:tc>
        <w:tc>
          <w:tcPr>
            <w:tcW w:type="dxa" w:w="15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120 sf</w:t>
            </w:r>
          </w:p>
        </w:tc>
        <w:tc>
          <w:tcPr>
            <w:tcW w:type="dxa" w:w="42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Private office, no window</w:t>
            </w:r>
          </w:p>
        </w:tc>
        <w:tc>
          <w:tcPr>
            <w:tcW w:type="dxa" w:w="19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9C7A3C"/>
                <w:sz w:val="17"/>
                <w:szCs w:val="17"/>
              </w:rPr>
              <w:t xml:space="preserve">$600/mo</w:t>
            </w:r>
          </w:p>
        </w:tc>
      </w:tr>
      <w:tr>
        <w:tc>
          <w:tcPr>
            <w:tcW w:type="dxa" w:w="9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B2B2B"/>
                <w:sz w:val="17"/>
                <w:szCs w:val="17"/>
              </w:rPr>
              <w:t xml:space="preserve">2</w:t>
            </w:r>
          </w:p>
        </w:tc>
        <w:tc>
          <w:tcPr>
            <w:tcW w:type="dxa" w:w="15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199.5 sf</w:t>
            </w:r>
          </w:p>
        </w:tc>
        <w:tc>
          <w:tcPr>
            <w:tcW w:type="dxa" w:w="42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2 windows, ceiling fan</w:t>
            </w:r>
          </w:p>
        </w:tc>
        <w:tc>
          <w:tcPr>
            <w:tcW w:type="dxa" w:w="19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9C7A3C"/>
                <w:sz w:val="17"/>
                <w:szCs w:val="17"/>
              </w:rPr>
              <w:t xml:space="preserve">$970/mo</w:t>
            </w:r>
          </w:p>
        </w:tc>
      </w:tr>
      <w:tr>
        <w:tc>
          <w:tcPr>
            <w:tcW w:type="dxa" w:w="9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B2B2B"/>
                <w:sz w:val="17"/>
                <w:szCs w:val="17"/>
              </w:rPr>
              <w:t xml:space="preserve">3</w:t>
            </w:r>
          </w:p>
        </w:tc>
        <w:tc>
          <w:tcPr>
            <w:tcW w:type="dxa" w:w="15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152.25 sf</w:t>
            </w:r>
          </w:p>
        </w:tc>
        <w:tc>
          <w:tcPr>
            <w:tcW w:type="dxa" w:w="42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1 window</w:t>
            </w:r>
          </w:p>
        </w:tc>
        <w:tc>
          <w:tcPr>
            <w:tcW w:type="dxa" w:w="19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9C7A3C"/>
                <w:sz w:val="17"/>
                <w:szCs w:val="17"/>
              </w:rPr>
              <w:t xml:space="preserve">$775/mo</w:t>
            </w:r>
          </w:p>
        </w:tc>
      </w:tr>
      <w:tr>
        <w:tc>
          <w:tcPr>
            <w:tcW w:type="dxa" w:w="9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B2B2B"/>
                <w:sz w:val="17"/>
                <w:szCs w:val="17"/>
              </w:rPr>
              <w:t xml:space="preserve">4</w:t>
            </w:r>
          </w:p>
        </w:tc>
        <w:tc>
          <w:tcPr>
            <w:tcW w:type="dxa" w:w="15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90 sf</w:t>
            </w:r>
          </w:p>
        </w:tc>
        <w:tc>
          <w:tcPr>
            <w:tcW w:type="dxa" w:w="42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Private office, no window</w:t>
            </w:r>
          </w:p>
        </w:tc>
        <w:tc>
          <w:tcPr>
            <w:tcW w:type="dxa" w:w="19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9C7A3C"/>
                <w:sz w:val="17"/>
                <w:szCs w:val="17"/>
              </w:rPr>
              <w:t xml:space="preserve">$450/mo</w:t>
            </w:r>
          </w:p>
        </w:tc>
      </w:tr>
      <w:tr>
        <w:tc>
          <w:tcPr>
            <w:tcW w:type="dxa" w:w="9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B2B2B"/>
                <w:sz w:val="17"/>
                <w:szCs w:val="17"/>
              </w:rPr>
              <w:t xml:space="preserve">5</w:t>
            </w:r>
          </w:p>
        </w:tc>
        <w:tc>
          <w:tcPr>
            <w:tcW w:type="dxa" w:w="15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90 sf</w:t>
            </w:r>
          </w:p>
        </w:tc>
        <w:tc>
          <w:tcPr>
            <w:tcW w:type="dxa" w:w="42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Private office, no window</w:t>
            </w:r>
          </w:p>
        </w:tc>
        <w:tc>
          <w:tcPr>
            <w:tcW w:type="dxa" w:w="19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9C7A3C"/>
                <w:sz w:val="17"/>
                <w:szCs w:val="17"/>
              </w:rPr>
              <w:t xml:space="preserve">$450/mo</w:t>
            </w:r>
          </w:p>
        </w:tc>
      </w:tr>
      <w:tr>
        <w:tc>
          <w:tcPr>
            <w:tcW w:type="dxa" w:w="9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B2B2B"/>
                <w:sz w:val="17"/>
                <w:szCs w:val="17"/>
              </w:rPr>
              <w:t xml:space="preserve">6</w:t>
            </w:r>
          </w:p>
        </w:tc>
        <w:tc>
          <w:tcPr>
            <w:tcW w:type="dxa" w:w="15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150 sf</w:t>
            </w:r>
          </w:p>
        </w:tc>
        <w:tc>
          <w:tcPr>
            <w:tcW w:type="dxa" w:w="42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1 window, street view</w:t>
            </w:r>
          </w:p>
        </w:tc>
        <w:tc>
          <w:tcPr>
            <w:tcW w:type="dxa" w:w="19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9C7A3C"/>
                <w:sz w:val="17"/>
                <w:szCs w:val="17"/>
              </w:rPr>
              <w:t xml:space="preserve">$765/mo</w:t>
            </w:r>
          </w:p>
        </w:tc>
      </w:tr>
      <w:tr>
        <w:tc>
          <w:tcPr>
            <w:tcW w:type="dxa" w:w="9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B2B2B"/>
                <w:sz w:val="17"/>
                <w:szCs w:val="17"/>
              </w:rPr>
              <w:t xml:space="preserve">7</w:t>
            </w:r>
          </w:p>
        </w:tc>
        <w:tc>
          <w:tcPr>
            <w:tcW w:type="dxa" w:w="15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120 sf</w:t>
            </w:r>
          </w:p>
        </w:tc>
        <w:tc>
          <w:tcPr>
            <w:tcW w:type="dxa" w:w="42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1 window, street view</w:t>
            </w:r>
          </w:p>
        </w:tc>
        <w:tc>
          <w:tcPr>
            <w:tcW w:type="dxa" w:w="1900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9C7A3C"/>
                <w:sz w:val="17"/>
                <w:szCs w:val="17"/>
              </w:rPr>
              <w:t xml:space="preserve">$630/mo</w:t>
            </w:r>
          </w:p>
        </w:tc>
      </w:tr>
      <w:tr>
        <w:tc>
          <w:tcPr>
            <w:tcW w:type="dxa" w:w="9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B2B2B"/>
                <w:sz w:val="17"/>
                <w:szCs w:val="17"/>
              </w:rPr>
              <w:t xml:space="preserve">8</w:t>
            </w:r>
          </w:p>
        </w:tc>
        <w:tc>
          <w:tcPr>
            <w:tcW w:type="dxa" w:w="15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96 sf</w:t>
            </w:r>
          </w:p>
        </w:tc>
        <w:tc>
          <w:tcPr>
            <w:tcW w:type="dxa" w:w="42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2B2B2B"/>
                <w:sz w:val="17"/>
                <w:szCs w:val="17"/>
              </w:rPr>
              <w:t xml:space="preserve">Reception, built-ins</w:t>
            </w:r>
          </w:p>
        </w:tc>
        <w:tc>
          <w:tcPr>
            <w:tcW w:type="dxa" w:w="1900"/>
            <w:shd w:fill="F4F2ED" w:val="clear"/>
            <w:tcMar>
              <w:top w:type="dxa" w:w="65"/>
              <w:left w:type="dxa" w:w="100"/>
              <w:bottom w:type="dxa" w:w="65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9C7A3C"/>
                <w:sz w:val="17"/>
                <w:szCs w:val="17"/>
              </w:rPr>
              <w:t xml:space="preserve">$310/mo</w:t>
            </w:r>
          </w:p>
        </w:tc>
      </w:tr>
    </w:tbl>
    <w:p>
      <w:pPr>
        <w:spacing w:after="100" w:before="240"/>
      </w:pPr>
      <w:r>
        <w:rPr>
          <w:rFonts w:ascii="Georgia" w:cs="Georgia" w:eastAsia="Georgia" w:hAnsi="Georgia"/>
          <w:b/>
          <w:bCs/>
          <w:color w:val="1F2A3D"/>
          <w:spacing w:val="14"/>
          <w:sz w:val="21"/>
          <w:szCs w:val="21"/>
        </w:rPr>
        <w:t xml:space="preserve">EVERY SUITE INCLUDES</w:t>
      </w:r>
    </w:p>
    <w:tbl>
      <w:tblPr>
        <w:tblW w:type="dxa" w:w="104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20"/>
        <w:gridCol w:w="5220"/>
      </w:tblGrid>
      <w:tr>
        <w:tc>
          <w:tcPr>
            <w:tcW w:type="dxa" w:w="5220"/>
            <w:tcMar>
              <w:right w:type="dxa" w:w="20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55"/>
            </w:pPr>
            <w:r>
              <w:rPr>
                <w:rFonts w:ascii="Calibri" w:cs="Calibri" w:eastAsia="Calibri" w:hAnsi="Calibri"/>
                <w:color w:val="2B2B2B"/>
                <w:sz w:val="19"/>
                <w:szCs w:val="19"/>
              </w:rPr>
              <w:t xml:space="preserve">Open, on-site parking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55"/>
            </w:pPr>
            <w:r>
              <w:rPr>
                <w:rFonts w:ascii="Calibri" w:cs="Calibri" w:eastAsia="Calibri" w:hAnsi="Calibri"/>
                <w:color w:val="2B2B2B"/>
                <w:sz w:val="19"/>
                <w:szCs w:val="19"/>
              </w:rPr>
              <w:t xml:space="preserve">24/7 key-coded building access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55"/>
            </w:pPr>
            <w:r>
              <w:rPr>
                <w:rFonts w:ascii="Calibri" w:cs="Calibri" w:eastAsia="Calibri" w:hAnsi="Calibri"/>
                <w:color w:val="2B2B2B"/>
                <w:sz w:val="19"/>
                <w:szCs w:val="19"/>
              </w:rPr>
              <w:t xml:space="preserve">Power, water, trash, sewer &amp; internet included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55"/>
            </w:pPr>
            <w:r>
              <w:rPr>
                <w:rFonts w:ascii="Calibri" w:cs="Calibri" w:eastAsia="Calibri" w:hAnsi="Calibri"/>
                <w:color w:val="2B2B2B"/>
                <w:sz w:val="19"/>
                <w:szCs w:val="19"/>
              </w:rPr>
              <w:t xml:space="preserve">Shared A/C &amp; heating</w:t>
            </w:r>
          </w:p>
        </w:tc>
        <w:tc>
          <w:tcPr>
            <w:tcW w:type="dxa" w:w="5220"/>
            <w:tcMar>
              <w:left w:type="dxa" w:w="20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55"/>
            </w:pPr>
            <w:r>
              <w:rPr>
                <w:rFonts w:ascii="Calibri" w:cs="Calibri" w:eastAsia="Calibri" w:hAnsi="Calibri"/>
                <w:color w:val="2B2B2B"/>
                <w:sz w:val="19"/>
                <w:szCs w:val="19"/>
              </w:rPr>
              <w:t xml:space="preserve">Weekly-cleaned shared restroom &amp; kitchenette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55"/>
            </w:pPr>
            <w:r>
              <w:rPr>
                <w:rFonts w:ascii="Calibri" w:cs="Calibri" w:eastAsia="Calibri" w:hAnsi="Calibri"/>
                <w:color w:val="2B2B2B"/>
                <w:sz w:val="19"/>
                <w:szCs w:val="19"/>
              </w:rPr>
              <w:t xml:space="preserve">Mail &amp; package acceptance, M–F 8–5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55"/>
            </w:pPr>
            <w:r>
              <w:rPr>
                <w:rFonts w:ascii="Calibri" w:cs="Calibri" w:eastAsia="Calibri" w:hAnsi="Calibri"/>
                <w:color w:val="2B2B2B"/>
                <w:sz w:val="19"/>
                <w:szCs w:val="19"/>
              </w:rPr>
              <w:t xml:space="preserve">Flexible lease terms — annual or month-to-month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55"/>
            </w:pPr>
            <w:r>
              <w:rPr>
                <w:rFonts w:ascii="Calibri" w:cs="Calibri" w:eastAsia="Calibri" w:hAnsi="Calibri"/>
                <w:color w:val="2B2B2B"/>
                <w:sz w:val="19"/>
                <w:szCs w:val="19"/>
              </w:rPr>
              <w:t xml:space="preserve">1 month free on a 12-month lease</w:t>
            </w:r>
          </w:p>
        </w:tc>
      </w:tr>
    </w:tbl>
    <w:tbl>
      <w:tblPr>
        <w:tblW w:type="dxa" w:w="104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40"/>
      </w:tblGrid>
      <w:tr>
        <w:tc>
          <w:tcPr>
            <w:tcW w:type="dxa" w:w="10440"/>
            <w:shd w:fill="F7F5F0" w:val="clear"/>
            <w:tcMar>
              <w:top w:type="dxa" w:w="220"/>
              <w:left w:type="dxa" w:w="320"/>
              <w:bottom w:type="dxa" w:w="220"/>
              <w:right w:type="dxa" w:w="320"/>
            </w:tcMar>
          </w:tcPr>
          <w:p>
            <w:pPr>
              <w:spacing w:after="10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1F2A3D"/>
                <w:spacing w:val="16"/>
                <w:sz w:val="22"/>
                <w:szCs w:val="22"/>
              </w:rPr>
              <w:t xml:space="preserve">CONTACT TO SCHEDULE A TOUR</w:t>
            </w:r>
          </w:p>
          <w:p>
            <w:pPr>
              <w:spacing w:after="3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2B2B2B"/>
                <w:sz w:val="26"/>
                <w:szCs w:val="26"/>
              </w:rPr>
              <w:t xml:space="preserve">Melissa Hudson</w:t>
            </w:r>
          </w:p>
          <w:p>
            <w:pPr>
              <w:spacing w:after="30"/>
              <w:jc w:val="center"/>
            </w:pPr>
            <w:r>
              <w:rPr>
                <w:rFonts w:ascii="Calibri" w:cs="Calibri" w:eastAsia="Calibri" w:hAnsi="Calibri"/>
                <w:color w:val="2B2B2B"/>
                <w:sz w:val="21"/>
                <w:szCs w:val="21"/>
              </w:rPr>
              <w:t xml:space="preserve">iProperties International</w:t>
            </w:r>
          </w:p>
          <w:p>
            <w:pPr>
              <w:spacing w:after="30"/>
              <w:jc w:val="center"/>
            </w:pPr>
            <w:r>
              <w:rPr>
                <w:rFonts w:ascii="Calibri" w:cs="Calibri" w:eastAsia="Calibri" w:hAnsi="Calibri"/>
                <w:i/>
                <w:iCs/>
                <w:color w:val="5A5A5A"/>
                <w:sz w:val="18"/>
                <w:szCs w:val="18"/>
              </w:rPr>
              <w:t xml:space="preserve">NV License # BS.0146059</w:t>
            </w:r>
          </w:p>
          <w:p>
            <w:pPr>
              <w:spacing w:after="1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9C7A3C"/>
                <w:sz w:val="24"/>
                <w:szCs w:val="24"/>
              </w:rPr>
              <w:t xml:space="preserve">702-769-1399</w:t>
            </w:r>
          </w:p>
          <w:p>
            <w:pPr>
              <w:jc w:val="center"/>
            </w:pPr>
            <w:r>
              <w:rPr>
                <w:rFonts w:ascii="Calibri" w:cs="Calibri" w:eastAsia="Calibri" w:hAnsi="Calibri"/>
                <w:color w:val="9C7A3C"/>
                <w:sz w:val="20"/>
                <w:szCs w:val="20"/>
              </w:rPr>
              <w:t xml:space="preserve">successrealestatenv@gmail.com</w:t>
            </w:r>
          </w:p>
        </w:tc>
      </w:tr>
    </w:tbl>
    <w:sectPr>
      <w:pgSz w:w="12240" w:h="15840" w:orient="portrait"/>
      <w:pgMar w:top="900" w:right="900" w:bottom="90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–"/>
      <w:lvlJc w:val="left"/>
      <w:pPr>
        <w:ind w:left="431" w:hanging="259"/>
      </w:pPr>
      <w:rPr>
        <w:b/>
        <w:bCs/>
        <w:color w:val="9C7A3C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bf189b29ed5bf7852bcee00c72182f4f8852ab4c.jpg"/><Relationship Id="rId8" Type="http://schemas.openxmlformats.org/officeDocument/2006/relationships/image" Target="media/3067fa32d9e8bb034ce558cd72ecdc4e43005ee3.jpg"/><Relationship Id="rId9" Type="http://schemas.openxmlformats.org/officeDocument/2006/relationships/image" Target="media/f158d78ce664fedf386d0a0d2cf5e4ba01909c69.jpg"/><Relationship Id="rId10" Type="http://schemas.openxmlformats.org/officeDocument/2006/relationships/image" Target="media/7856ab83d42cbd3bd715e3553b7e8e20d52c261b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2026-07-08T22:41:56.095Z</dcterms:created>
  <dcterms:modified xsi:type="dcterms:W3CDTF">2026-07-08T22:41:56.095Z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