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4B99" w:rsidRPr="00AA4B99" w:rsidRDefault="00AA4B99" w:rsidP="00AA4B99">
      <w:pPr>
        <w:pStyle w:val="yiv0456318933ydpa64565eyiv1175441305msonormal"/>
        <w:shd w:val="clear" w:color="auto" w:fill="FFFFFF"/>
        <w:spacing w:before="0" w:beforeAutospacing="0" w:after="0" w:afterAutospacing="0"/>
        <w:rPr>
          <w:rFonts w:ascii="Calibri" w:hAnsi="Calibri" w:cs="Calibri"/>
        </w:rPr>
      </w:pPr>
      <w:r w:rsidRPr="00AA4B99">
        <w:rPr>
          <w:rFonts w:ascii="Arial" w:hAnsi="Arial" w:cs="Arial"/>
        </w:rPr>
        <w:t>The subject property is currently located in the </w:t>
      </w:r>
      <w:hyperlink r:id="rId4" w:tgtFrame="_blank" w:history="1">
        <w:r w:rsidRPr="00AA4B99">
          <w:rPr>
            <w:rStyle w:val="Hyperlink"/>
            <w:rFonts w:ascii="Arial" w:hAnsi="Arial" w:cs="Arial"/>
            <w:color w:val="auto"/>
          </w:rPr>
          <w:t>Light Industrial (M1)</w:t>
        </w:r>
      </w:hyperlink>
      <w:r w:rsidRPr="00AA4B99">
        <w:rPr>
          <w:rFonts w:ascii="Arial" w:hAnsi="Arial" w:cs="Arial"/>
        </w:rPr>
        <w:t> zoning district</w:t>
      </w:r>
      <w:r w:rsidRPr="00AA4B99">
        <w:rPr>
          <w:rFonts w:ascii="Arial" w:hAnsi="Arial" w:cs="Arial"/>
        </w:rPr>
        <w:t>.</w:t>
      </w:r>
      <w:r w:rsidRPr="00AA4B99">
        <w:rPr>
          <w:rFonts w:ascii="Arial" w:hAnsi="Arial" w:cs="Arial"/>
        </w:rPr>
        <w:t xml:space="preserve"> However, if</w:t>
      </w:r>
      <w:r w:rsidRPr="00AA4B99">
        <w:rPr>
          <w:rFonts w:ascii="Arial" w:hAnsi="Arial" w:cs="Arial"/>
          <w:i/>
          <w:iCs/>
        </w:rPr>
        <w:t> </w:t>
      </w:r>
      <w:r w:rsidRPr="00AA4B99">
        <w:rPr>
          <w:rFonts w:ascii="Arial" w:hAnsi="Arial" w:cs="Arial"/>
        </w:rPr>
        <w:t xml:space="preserve">the </w:t>
      </w:r>
      <w:r w:rsidRPr="00AA4B99">
        <w:rPr>
          <w:rFonts w:ascii="Arial" w:hAnsi="Arial" w:cs="Arial"/>
        </w:rPr>
        <w:t>business</w:t>
      </w:r>
      <w:r w:rsidRPr="00AA4B99">
        <w:rPr>
          <w:rFonts w:ascii="Arial" w:hAnsi="Arial" w:cs="Arial"/>
        </w:rPr>
        <w:t xml:space="preserve"> triggers the need for a permit from any other local or state agency (e.g. SCAQMD, Orange County, Etc.) or is considered a noxious use per </w:t>
      </w:r>
      <w:hyperlink r:id="rId5" w:tgtFrame="_blank" w:history="1">
        <w:r w:rsidRPr="00AA4B99">
          <w:rPr>
            <w:rStyle w:val="Hyperlink"/>
            <w:rFonts w:ascii="Arial" w:hAnsi="Arial" w:cs="Arial"/>
            <w:color w:val="auto"/>
          </w:rPr>
          <w:t>Section 41-199.4(a)</w:t>
        </w:r>
      </w:hyperlink>
      <w:r w:rsidRPr="00AA4B99">
        <w:rPr>
          <w:rFonts w:ascii="Arial" w:hAnsi="Arial" w:cs="Arial"/>
        </w:rPr>
        <w:t> of the Santa Ana Municipal Code, then the use will </w:t>
      </w:r>
      <w:r w:rsidRPr="00AA4B99">
        <w:rPr>
          <w:rFonts w:ascii="Arial" w:hAnsi="Arial" w:cs="Arial"/>
          <w:b/>
          <w:bCs/>
        </w:rPr>
        <w:t>not</w:t>
      </w:r>
      <w:r w:rsidRPr="00AA4B99">
        <w:rPr>
          <w:rFonts w:ascii="Arial" w:hAnsi="Arial" w:cs="Arial"/>
        </w:rPr>
        <w:t> be allowed.</w:t>
      </w:r>
    </w:p>
    <w:p w:rsidR="00AA4B99" w:rsidRPr="00AA4B99" w:rsidRDefault="00AA4B99" w:rsidP="00AA4B99">
      <w:pPr>
        <w:pStyle w:val="yiv0456318933ydpa64565eyiv1175441305msonormal"/>
        <w:shd w:val="clear" w:color="auto" w:fill="FFFFFF"/>
        <w:spacing w:before="0" w:beforeAutospacing="0" w:after="0" w:afterAutospacing="0"/>
        <w:rPr>
          <w:rFonts w:ascii="Calibri" w:hAnsi="Calibri" w:cs="Calibri"/>
        </w:rPr>
      </w:pPr>
      <w:r w:rsidRPr="00AA4B99">
        <w:rPr>
          <w:rFonts w:ascii="Arial" w:hAnsi="Arial" w:cs="Arial"/>
        </w:rPr>
        <w:t> </w:t>
      </w:r>
    </w:p>
    <w:p w:rsidR="00AA4B99" w:rsidRPr="00AA4B99" w:rsidRDefault="00AA4B99" w:rsidP="00AA4B99">
      <w:pPr>
        <w:pStyle w:val="yiv0456318933ydpa64565eyiv1175441305msonormal"/>
        <w:shd w:val="clear" w:color="auto" w:fill="FFFFFF"/>
        <w:spacing w:before="0" w:beforeAutospacing="0" w:after="0" w:afterAutospacing="0"/>
        <w:rPr>
          <w:rFonts w:ascii="Calibri" w:hAnsi="Calibri" w:cs="Calibri"/>
        </w:rPr>
      </w:pPr>
      <w:r w:rsidRPr="00AA4B99">
        <w:rPr>
          <w:rFonts w:ascii="Arial" w:hAnsi="Arial" w:cs="Arial"/>
        </w:rPr>
        <w:t>The reason is that noxious uses require the approval of a </w:t>
      </w:r>
      <w:hyperlink r:id="rId6" w:tgtFrame="_blank" w:history="1">
        <w:r w:rsidRPr="00AA4B99">
          <w:rPr>
            <w:rStyle w:val="Hyperlink"/>
            <w:rFonts w:ascii="Arial" w:hAnsi="Arial" w:cs="Arial"/>
            <w:color w:val="auto"/>
          </w:rPr>
          <w:t>development project</w:t>
        </w:r>
      </w:hyperlink>
      <w:r w:rsidRPr="00AA4B99">
        <w:rPr>
          <w:rFonts w:ascii="Arial" w:hAnsi="Arial" w:cs="Arial"/>
        </w:rPr>
        <w:t> application and a </w:t>
      </w:r>
      <w:hyperlink r:id="rId7" w:tgtFrame="_blank" w:history="1">
        <w:r w:rsidRPr="00AA4B99">
          <w:rPr>
            <w:rStyle w:val="Hyperlink"/>
            <w:rFonts w:ascii="Arial" w:hAnsi="Arial" w:cs="Arial"/>
            <w:color w:val="auto"/>
          </w:rPr>
          <w:t>conditional use permit</w:t>
        </w:r>
      </w:hyperlink>
      <w:r w:rsidRPr="00AA4B99">
        <w:rPr>
          <w:rFonts w:ascii="Arial" w:hAnsi="Arial" w:cs="Arial"/>
        </w:rPr>
        <w:t>, which require consistency with the General Plan. As noted</w:t>
      </w:r>
      <w:r w:rsidRPr="00AA4B99">
        <w:rPr>
          <w:rFonts w:ascii="Arial" w:hAnsi="Arial" w:cs="Arial"/>
        </w:rPr>
        <w:t xml:space="preserve">, </w:t>
      </w:r>
      <w:r w:rsidRPr="00AA4B99">
        <w:rPr>
          <w:rFonts w:ascii="Arial" w:hAnsi="Arial" w:cs="Arial"/>
        </w:rPr>
        <w:t>the current industrial zoning is not consistent with the residential General Plan land use designation. Therefore, any industrial land use proposed would not be consistent with the residential land use designation under the General Plan. For reference, see page LU 19 (or page 25 of the PDF) of the General Plan Land Use Element document linked </w:t>
      </w:r>
      <w:hyperlink r:id="rId8" w:tgtFrame="_blank" w:history="1">
        <w:r w:rsidRPr="00AA4B99">
          <w:rPr>
            <w:rStyle w:val="Hyperlink"/>
            <w:rFonts w:ascii="Arial" w:hAnsi="Arial" w:cs="Arial"/>
            <w:color w:val="auto"/>
          </w:rPr>
          <w:t>here</w:t>
        </w:r>
      </w:hyperlink>
      <w:r w:rsidRPr="00AA4B99">
        <w:rPr>
          <w:rFonts w:ascii="Arial" w:hAnsi="Arial" w:cs="Arial"/>
        </w:rPr>
        <w:t>.</w:t>
      </w:r>
    </w:p>
    <w:p w:rsidR="00AA4B99" w:rsidRPr="00AA4B99" w:rsidRDefault="00AA4B99" w:rsidP="00AA4B99">
      <w:pPr>
        <w:pStyle w:val="yiv0456318933ydpa64565eyiv1175441305msonormal"/>
        <w:shd w:val="clear" w:color="auto" w:fill="FFFFFF"/>
        <w:spacing w:before="0" w:beforeAutospacing="0" w:after="0" w:afterAutospacing="0"/>
        <w:rPr>
          <w:rFonts w:ascii="Calibri" w:hAnsi="Calibri" w:cs="Calibri"/>
        </w:rPr>
      </w:pPr>
      <w:r w:rsidRPr="00AA4B99">
        <w:rPr>
          <w:rFonts w:ascii="Arial" w:hAnsi="Arial" w:cs="Arial"/>
        </w:rPr>
        <w:t> </w:t>
      </w:r>
    </w:p>
    <w:p w:rsidR="00AA4B99" w:rsidRPr="00AA4B99" w:rsidRDefault="00AA4B99" w:rsidP="00AA4B99">
      <w:pPr>
        <w:pStyle w:val="NoSpacing"/>
        <w:rPr>
          <w:rFonts w:ascii="Arial" w:hAnsi="Arial" w:cs="Arial"/>
          <w:sz w:val="24"/>
          <w:szCs w:val="24"/>
          <w:shd w:val="clear" w:color="auto" w:fill="FFFFFF"/>
        </w:rPr>
      </w:pPr>
      <w:r w:rsidRPr="00AA4B99">
        <w:rPr>
          <w:rFonts w:ascii="Arial" w:hAnsi="Arial" w:cs="Arial"/>
          <w:sz w:val="24"/>
          <w:szCs w:val="24"/>
          <w:shd w:val="clear" w:color="auto" w:fill="FFFFFF"/>
        </w:rPr>
        <w:t xml:space="preserve">The subject property is located on a site designated Corridor Residential (CR-30) on the General Plan Land Use Map. Although it is currently zoned Light Manufacturing (M1), the proposed new zoning district is Corridor Residential to match the General Plan. </w:t>
      </w:r>
    </w:p>
    <w:p w:rsidR="00AA4B99" w:rsidRPr="00AA4B99" w:rsidRDefault="00AA4B99" w:rsidP="00AA4B99">
      <w:pPr>
        <w:pStyle w:val="NoSpacing"/>
        <w:rPr>
          <w:rFonts w:ascii="Arial" w:hAnsi="Arial" w:cs="Arial"/>
          <w:sz w:val="24"/>
          <w:szCs w:val="24"/>
          <w:shd w:val="clear" w:color="auto" w:fill="FFFFFF"/>
        </w:rPr>
      </w:pPr>
    </w:p>
    <w:p w:rsidR="00AA4B99" w:rsidRPr="00AA4B99" w:rsidRDefault="00AA4B99" w:rsidP="00AA4B99">
      <w:pPr>
        <w:pStyle w:val="NoSpacing"/>
        <w:rPr>
          <w:sz w:val="24"/>
          <w:szCs w:val="24"/>
        </w:rPr>
      </w:pPr>
      <w:r w:rsidRPr="00AA4B99">
        <w:rPr>
          <w:rFonts w:ascii="Arial" w:hAnsi="Arial" w:cs="Arial"/>
          <w:sz w:val="24"/>
          <w:szCs w:val="24"/>
          <w:shd w:val="clear" w:color="auto" w:fill="FFFFFF"/>
        </w:rPr>
        <w:t>The proposal is part of a comprehensive zoning code update, which will affect parcels citywide. When the property becomes residential, all Light Manufacturing uses, including warehousing and auto repair will become nonconforming and may continue subject to </w:t>
      </w:r>
      <w:hyperlink r:id="rId9" w:tgtFrame="_blank" w:history="1">
        <w:r w:rsidRPr="00AA4B99">
          <w:rPr>
            <w:rStyle w:val="Hyperlink"/>
            <w:rFonts w:ascii="Arial" w:hAnsi="Arial" w:cs="Arial"/>
            <w:color w:val="auto"/>
            <w:sz w:val="24"/>
            <w:szCs w:val="24"/>
            <w:shd w:val="clear" w:color="auto" w:fill="FFFFFF"/>
          </w:rPr>
          <w:t>Article VI (Nonconforming Buildings and Uses)</w:t>
        </w:r>
      </w:hyperlink>
      <w:r w:rsidRPr="00AA4B99">
        <w:rPr>
          <w:rFonts w:ascii="Arial" w:hAnsi="Arial" w:cs="Arial"/>
          <w:sz w:val="24"/>
          <w:szCs w:val="24"/>
          <w:shd w:val="clear" w:color="auto" w:fill="FFFFFF"/>
        </w:rPr>
        <w:t> of the zoning code. The comprehensive zoning code update is subject to City Council approval and is scheduled for consideration by City Council in the fall of 2026. The new zoning regulations will become effective 30 days after the City Council’s second reading of the new ordinance.</w:t>
      </w:r>
    </w:p>
    <w:p w:rsidR="00AA4B99" w:rsidRPr="00AA4B99" w:rsidRDefault="00AA4B99" w:rsidP="00AA4B99">
      <w:pPr>
        <w:pStyle w:val="NoSpacing"/>
        <w:rPr>
          <w:sz w:val="24"/>
          <w:szCs w:val="24"/>
        </w:rPr>
      </w:pPr>
    </w:p>
    <w:p w:rsidR="00AA4B99" w:rsidRDefault="00AA4B99" w:rsidP="00AA4B99">
      <w:pPr>
        <w:pStyle w:val="NoSpacing"/>
        <w:rPr>
          <w:sz w:val="28"/>
          <w:szCs w:val="28"/>
        </w:rPr>
      </w:pPr>
    </w:p>
    <w:p w:rsidR="00AA4B99" w:rsidRDefault="00AA4B99" w:rsidP="00AA4B99">
      <w:pPr>
        <w:pStyle w:val="NoSpacing"/>
        <w:rPr>
          <w:sz w:val="28"/>
          <w:szCs w:val="28"/>
        </w:rPr>
      </w:pPr>
    </w:p>
    <w:p w:rsidR="00086691" w:rsidRDefault="00D170E9" w:rsidP="00AA4B99">
      <w:pPr>
        <w:pStyle w:val="NoSpacing"/>
      </w:pPr>
      <w:bookmarkStart w:id="0" w:name="_GoBack"/>
      <w:bookmarkEnd w:id="0"/>
      <w:r w:rsidRPr="00AA4B99">
        <w:rPr>
          <w:sz w:val="28"/>
          <w:szCs w:val="28"/>
        </w:rPr>
        <w:t>Land Use Element - Santa Ana General Plan</w:t>
      </w:r>
      <w:r>
        <w:t xml:space="preserve"> </w:t>
      </w:r>
      <w:hyperlink r:id="rId10" w:history="1">
        <w:r w:rsidRPr="0036342A">
          <w:rPr>
            <w:rStyle w:val="Hyperlink"/>
          </w:rPr>
          <w:t>https://storage.googleapis.com/proudcity/generalplansantaanaca/uploads/2023/02/Vol03_LandUse_April2022_compressed-2.pdf</w:t>
        </w:r>
      </w:hyperlink>
    </w:p>
    <w:p w:rsidR="00D170E9" w:rsidRDefault="00D170E9" w:rsidP="00AA4B99">
      <w:pPr>
        <w:pStyle w:val="NoSpacing"/>
      </w:pPr>
    </w:p>
    <w:p w:rsidR="00AA4B99" w:rsidRDefault="00AA4B99" w:rsidP="00AA4B99">
      <w:pPr>
        <w:pStyle w:val="NoSpacing"/>
      </w:pPr>
    </w:p>
    <w:p w:rsidR="00AA4B99" w:rsidRPr="00AA4B99" w:rsidRDefault="00AA4B99" w:rsidP="00AA4B99">
      <w:pPr>
        <w:pStyle w:val="NoSpacing"/>
        <w:rPr>
          <w:sz w:val="28"/>
          <w:szCs w:val="28"/>
        </w:rPr>
      </w:pPr>
      <w:r w:rsidRPr="00AA4B99">
        <w:rPr>
          <w:sz w:val="28"/>
          <w:szCs w:val="28"/>
        </w:rPr>
        <w:t>Article VI. – Nonconforming buildings and uses</w:t>
      </w:r>
    </w:p>
    <w:p w:rsidR="00AA4B99" w:rsidRDefault="00AA4B99" w:rsidP="00AA4B99">
      <w:pPr>
        <w:pStyle w:val="NoSpacing"/>
      </w:pPr>
      <w:hyperlink r:id="rId11" w:history="1">
        <w:r w:rsidRPr="0036342A">
          <w:rPr>
            <w:rStyle w:val="Hyperlink"/>
          </w:rPr>
          <w:t>https://library.municode.com/ca/santa_ana/codes/code_of_ordinances?nodeId=PTIITHCO_CH41ZO_ARTVINOBUUS</w:t>
        </w:r>
      </w:hyperlink>
    </w:p>
    <w:p w:rsidR="00AA4B99" w:rsidRDefault="00AA4B99" w:rsidP="00AA4B99">
      <w:pPr>
        <w:pStyle w:val="NoSpacing"/>
      </w:pPr>
    </w:p>
    <w:p w:rsidR="00AA4B99" w:rsidRDefault="00AA4B99" w:rsidP="00AA4B99">
      <w:pPr>
        <w:pStyle w:val="NoSpacing"/>
      </w:pPr>
    </w:p>
    <w:p w:rsidR="00AA4B99" w:rsidRDefault="00AA4B99" w:rsidP="00AA4B99">
      <w:pPr>
        <w:pStyle w:val="NoSpacing"/>
      </w:pPr>
    </w:p>
    <w:sectPr w:rsidR="00AA4B9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70E9"/>
    <w:rsid w:val="00086691"/>
    <w:rsid w:val="00AA4B99"/>
    <w:rsid w:val="00D170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48EDAB6-D1A7-45CB-A30C-B9FB3CC3B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AA4B99"/>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170E9"/>
    <w:rPr>
      <w:color w:val="0563C1" w:themeColor="hyperlink"/>
      <w:u w:val="single"/>
    </w:rPr>
  </w:style>
  <w:style w:type="paragraph" w:styleId="NoSpacing">
    <w:name w:val="No Spacing"/>
    <w:uiPriority w:val="1"/>
    <w:qFormat/>
    <w:rsid w:val="00AA4B99"/>
    <w:pPr>
      <w:spacing w:after="0" w:line="240" w:lineRule="auto"/>
    </w:pPr>
  </w:style>
  <w:style w:type="character" w:customStyle="1" w:styleId="Heading2Char">
    <w:name w:val="Heading 2 Char"/>
    <w:basedOn w:val="DefaultParagraphFont"/>
    <w:link w:val="Heading2"/>
    <w:uiPriority w:val="9"/>
    <w:rsid w:val="00AA4B99"/>
    <w:rPr>
      <w:rFonts w:ascii="Times New Roman" w:eastAsia="Times New Roman" w:hAnsi="Times New Roman" w:cs="Times New Roman"/>
      <w:b/>
      <w:bCs/>
      <w:sz w:val="36"/>
      <w:szCs w:val="36"/>
    </w:rPr>
  </w:style>
  <w:style w:type="paragraph" w:customStyle="1" w:styleId="yiv0456318933ydpa64565eyiv1175441305msonormal">
    <w:name w:val="yiv0456318933ydpa64565eyiv1175441305msonormal"/>
    <w:basedOn w:val="Normal"/>
    <w:rsid w:val="00AA4B9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7522405">
      <w:bodyDiv w:val="1"/>
      <w:marLeft w:val="0"/>
      <w:marRight w:val="0"/>
      <w:marTop w:val="0"/>
      <w:marBottom w:val="0"/>
      <w:divBdr>
        <w:top w:val="none" w:sz="0" w:space="0" w:color="auto"/>
        <w:left w:val="none" w:sz="0" w:space="0" w:color="auto"/>
        <w:bottom w:val="none" w:sz="0" w:space="0" w:color="auto"/>
        <w:right w:val="none" w:sz="0" w:space="0" w:color="auto"/>
      </w:divBdr>
    </w:div>
    <w:div w:id="1161433708">
      <w:bodyDiv w:val="1"/>
      <w:marLeft w:val="0"/>
      <w:marRight w:val="0"/>
      <w:marTop w:val="0"/>
      <w:marBottom w:val="0"/>
      <w:divBdr>
        <w:top w:val="none" w:sz="0" w:space="0" w:color="auto"/>
        <w:left w:val="none" w:sz="0" w:space="0" w:color="auto"/>
        <w:bottom w:val="none" w:sz="0" w:space="0" w:color="auto"/>
        <w:right w:val="none" w:sz="0" w:space="0" w:color="auto"/>
      </w:divBdr>
      <w:divsChild>
        <w:div w:id="18216524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rldefense.com/v3/__https:/general-plan-santa-ana-ca.proudcity.com/documents/land-use-element/__;!!Ng8fcIuBFqQ8!PLppqKJPbigPfq0n3oky4syPgvCU8vyXX4GVlsbPt6BQO5h_6YeL90UAGMAXCVMzieJCkpe6IsQBY4c5OrIg$"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urldefense.com/v3/__https:/library.municode.com/ca/santa_ana/codes/code_of_ordinances?nodeId=PTIITHCO_CH41ZO_ARTVCOUSPEVAMIEXAMDEPRPLAP_DIV1GE_S41-638STGRAPMIEXVACOUSPEAP__;!!Ng8fcIuBFqQ8!PLppqKJPbigPfq0n3oky4syPgvCU8vyXX4GVlsbPt6BQO5h_6YeL90UAGMAXCVMzieJCkpe6IsQBYwg0CCj5$"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urldefense.com/v3/__https:/library.municode.com/ca/santa_ana/codes/code_of_ordinances?nodeId=PTIITHCO_CH41ZO_ARTVCOUSPEVAMIEXAMDEPRPLAP_DIV3DEPRPLAP_S41-670STAP__;!!Ng8fcIuBFqQ8!PLppqKJPbigPfq0n3oky4syPgvCU8vyXX4GVlsbPt6BQO5h_6YeL90UAGMAXCVMzieJCkpe6IsQBY8CUlEQ_$" TargetMode="External"/><Relationship Id="rId11" Type="http://schemas.openxmlformats.org/officeDocument/2006/relationships/hyperlink" Target="https://library.municode.com/ca/santa_ana/codes/code_of_ordinances?nodeId=PTIITHCO_CH41ZO_ARTVINOBUUS" TargetMode="External"/><Relationship Id="rId5" Type="http://schemas.openxmlformats.org/officeDocument/2006/relationships/hyperlink" Target="https://urldefense.com/v3/__https:/library.municode.com/ca/santa_ana/codes/code_of_ordinances?nodeId=PTIITHCO_CH41ZO_ARTIIUSDIENPR_S41-199.4NOUS__;!!Ng8fcIuBFqQ8!PLppqKJPbigPfq0n3oky4syPgvCU8vyXX4GVlsbPt6BQO5h_6YeL90UAGMAXCVMzieJCkpe6IsQBY55ysGYu$" TargetMode="External"/><Relationship Id="rId10" Type="http://schemas.openxmlformats.org/officeDocument/2006/relationships/hyperlink" Target="https://storage.googleapis.com/proudcity/generalplansantaanaca/uploads/2023/02/Vol03_LandUse_April2022_compressed-2.pdf" TargetMode="External"/><Relationship Id="rId4" Type="http://schemas.openxmlformats.org/officeDocument/2006/relationships/hyperlink" Target="https://urldefense.com/v3/__https:/library.municode.com/ca/santa_ana/codes/code_of_ordinances?nodeId=PTIITHCO_CH41ZO_ARTIIIUSDIRESP_DIV18M1LIIN__;!!Ng8fcIuBFqQ8!PLppqKJPbigPfq0n3oky4syPgvCU8vyXX4GVlsbPt6BQO5h_6YeL90UAGMAXCVMzieJCkpe6IsQBY30n8AIk$" TargetMode="External"/><Relationship Id="rId9" Type="http://schemas.openxmlformats.org/officeDocument/2006/relationships/hyperlink" Target="https://urldefense.com/v3/__https:/library.municode.com/ca/santa_ana/codes/code_of_ordinances?nodeId=PTIITHCO_CH41ZO_ARTVINOBUUS__;!!Ng8fcIuBFqQ8!PLppqKJPbigPfq0n3oky4syPgvCU8vyXX4GVlsbPt6BQO5h_6YeL90UAGMAXCVMzieJCkpe6IsQBY0Lbira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34641</TotalTime>
  <Pages>1</Pages>
  <Words>588</Words>
  <Characters>3358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Chang</dc:creator>
  <cp:keywords/>
  <dc:description/>
  <cp:lastModifiedBy>Linda Chang</cp:lastModifiedBy>
  <cp:revision>1</cp:revision>
  <dcterms:created xsi:type="dcterms:W3CDTF">2026-07-25T08:07:00Z</dcterms:created>
  <dcterms:modified xsi:type="dcterms:W3CDTF">2026-08-18T09:28:00Z</dcterms:modified>
</cp:coreProperties>
</file>