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D2B27" w14:textId="77777777" w:rsidR="00B6728C" w:rsidRDefault="00B6728C"/>
    <w:p w14:paraId="53FD5667" w14:textId="77777777" w:rsidR="00B6728C" w:rsidRDefault="00A61170">
      <w:pPr>
        <w:jc w:val="center"/>
      </w:pPr>
      <w:r>
        <w:rPr>
          <w:b/>
          <w:color w:val="2E75B6"/>
          <w:sz w:val="24"/>
        </w:rPr>
        <w:t>OFFERING MEMORANDUM</w:t>
      </w:r>
    </w:p>
    <w:p w14:paraId="38E88216" w14:textId="77777777" w:rsidR="00B6728C" w:rsidRDefault="00B6728C"/>
    <w:p w14:paraId="4AD36992" w14:textId="77777777" w:rsidR="00B6728C" w:rsidRDefault="00B6728C"/>
    <w:p w14:paraId="2B85EF3D" w14:textId="77777777" w:rsidR="00B6728C" w:rsidRDefault="00B6728C"/>
    <w:p w14:paraId="4C37D1E6" w14:textId="77777777" w:rsidR="00B6728C" w:rsidRDefault="00A61170">
      <w:pPr>
        <w:jc w:val="center"/>
      </w:pPr>
      <w:r>
        <w:rPr>
          <w:b/>
          <w:color w:val="1F4E79"/>
          <w:sz w:val="76"/>
        </w:rPr>
        <w:t>SUMMIT PLAZA</w:t>
      </w:r>
    </w:p>
    <w:p w14:paraId="147C3D1F" w14:textId="77777777" w:rsidR="00B6728C" w:rsidRDefault="00A61170">
      <w:pPr>
        <w:jc w:val="center"/>
      </w:pPr>
      <w:r>
        <w:rPr>
          <w:color w:val="404040"/>
          <w:sz w:val="30"/>
        </w:rPr>
        <w:t>790 S. Glynn Street, Fayetteville, GA 30214</w:t>
      </w:r>
    </w:p>
    <w:p w14:paraId="7D419C8F" w14:textId="77777777" w:rsidR="00B6728C" w:rsidRDefault="00A61170">
      <w:pPr>
        <w:jc w:val="center"/>
      </w:pPr>
      <w:r>
        <w:rPr>
          <w:i/>
          <w:color w:val="595959"/>
        </w:rPr>
        <w:t>Fayette County · Atlanta MSA</w:t>
      </w:r>
    </w:p>
    <w:p w14:paraId="59201308" w14:textId="77777777" w:rsidR="00B6728C" w:rsidRDefault="00B6728C"/>
    <w:p w14:paraId="3E870820" w14:textId="77777777" w:rsidR="00B6728C" w:rsidRDefault="00B6728C"/>
    <w:p w14:paraId="5D4F94E1" w14:textId="77777777" w:rsidR="00B6728C" w:rsidRDefault="00A61170">
      <w:pPr>
        <w:jc w:val="center"/>
      </w:pPr>
      <w:r>
        <w:rPr>
          <w:b/>
          <w:color w:val="2E75B6"/>
          <w:sz w:val="26"/>
        </w:rPr>
        <w:t>100% Leased Multi-Tenant Retail Strip Center</w:t>
      </w:r>
    </w:p>
    <w:p w14:paraId="510F7319" w14:textId="77777777" w:rsidR="00B6728C" w:rsidRDefault="00B6728C"/>
    <w:p w14:paraId="58BF6D7B" w14:textId="77777777" w:rsidR="00B6728C" w:rsidRDefault="00B6728C"/>
    <w:tbl>
      <w:tblPr>
        <w:tblStyle w:val="LightGrid-Accent1"/>
        <w:tblW w:w="0" w:type="auto"/>
        <w:tblLook w:val="04A0" w:firstRow="1" w:lastRow="0" w:firstColumn="1" w:lastColumn="0" w:noHBand="0" w:noVBand="1"/>
      </w:tblPr>
      <w:tblGrid>
        <w:gridCol w:w="2517"/>
        <w:gridCol w:w="2515"/>
        <w:gridCol w:w="2514"/>
        <w:gridCol w:w="2514"/>
      </w:tblGrid>
      <w:tr w:rsidR="00B6728C" w14:paraId="5FB1406D"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shd w:val="clear" w:color="auto" w:fill="1F4E79"/>
          </w:tcPr>
          <w:p w14:paraId="42D7FB00" w14:textId="77777777" w:rsidR="00B6728C" w:rsidRDefault="00A61170">
            <w:pPr>
              <w:jc w:val="center"/>
            </w:pPr>
            <w:r>
              <w:rPr>
                <w:color w:val="FFFFFF"/>
                <w:sz w:val="19"/>
              </w:rPr>
              <w:t>ASKING PRICE</w:t>
            </w:r>
          </w:p>
        </w:tc>
        <w:tc>
          <w:tcPr>
            <w:tcW w:w="2520" w:type="dxa"/>
            <w:shd w:val="clear" w:color="auto" w:fill="1F4E79"/>
          </w:tcPr>
          <w:p w14:paraId="72C4F761"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9"/>
              </w:rPr>
              <w:t>NET OPERATING INCOME</w:t>
            </w:r>
          </w:p>
        </w:tc>
        <w:tc>
          <w:tcPr>
            <w:tcW w:w="2520" w:type="dxa"/>
            <w:shd w:val="clear" w:color="auto" w:fill="1F4E79"/>
          </w:tcPr>
          <w:p w14:paraId="09532FEA"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9"/>
              </w:rPr>
              <w:t>CAP RATE</w:t>
            </w:r>
          </w:p>
        </w:tc>
        <w:tc>
          <w:tcPr>
            <w:tcW w:w="2520" w:type="dxa"/>
            <w:shd w:val="clear" w:color="auto" w:fill="1F4E79"/>
          </w:tcPr>
          <w:p w14:paraId="5761D83B"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9"/>
              </w:rPr>
              <w:t>OCCUPANCY</w:t>
            </w:r>
          </w:p>
        </w:tc>
      </w:tr>
      <w:tr w:rsidR="00B6728C" w14:paraId="45B154E6"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Pr>
          <w:p w14:paraId="2E016C24" w14:textId="77777777" w:rsidR="00B6728C" w:rsidRDefault="00A61170">
            <w:pPr>
              <w:jc w:val="center"/>
            </w:pPr>
            <w:r>
              <w:rPr>
                <w:color w:val="1F4E79"/>
                <w:sz w:val="32"/>
              </w:rPr>
              <w:t>$2,200,000</w:t>
            </w:r>
          </w:p>
        </w:tc>
        <w:tc>
          <w:tcPr>
            <w:tcW w:w="2520" w:type="dxa"/>
          </w:tcPr>
          <w:p w14:paraId="079E730E"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b/>
                <w:color w:val="1F4E79"/>
                <w:sz w:val="32"/>
              </w:rPr>
              <w:t>$133,102</w:t>
            </w:r>
          </w:p>
        </w:tc>
        <w:tc>
          <w:tcPr>
            <w:tcW w:w="2520" w:type="dxa"/>
          </w:tcPr>
          <w:p w14:paraId="64B0889F"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b/>
                <w:color w:val="1F4E79"/>
                <w:sz w:val="32"/>
              </w:rPr>
              <w:t>6.05%</w:t>
            </w:r>
          </w:p>
        </w:tc>
        <w:tc>
          <w:tcPr>
            <w:tcW w:w="2520" w:type="dxa"/>
          </w:tcPr>
          <w:p w14:paraId="63761FDD"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b/>
                <w:color w:val="1F4E79"/>
                <w:sz w:val="32"/>
              </w:rPr>
              <w:t>100%</w:t>
            </w:r>
          </w:p>
        </w:tc>
      </w:tr>
    </w:tbl>
    <w:p w14:paraId="3F12DFCF" w14:textId="77777777" w:rsidR="00B6728C" w:rsidRDefault="00B6728C"/>
    <w:p w14:paraId="5220E363" w14:textId="77777777" w:rsidR="00B6728C" w:rsidRDefault="00B6728C"/>
    <w:tbl>
      <w:tblPr>
        <w:tblStyle w:val="LightGrid-Accent1"/>
        <w:tblW w:w="0" w:type="auto"/>
        <w:tblLook w:val="04A0" w:firstRow="1" w:lastRow="0" w:firstColumn="1" w:lastColumn="0" w:noHBand="0" w:noVBand="1"/>
      </w:tblPr>
      <w:tblGrid>
        <w:gridCol w:w="2515"/>
        <w:gridCol w:w="2515"/>
        <w:gridCol w:w="2515"/>
        <w:gridCol w:w="2515"/>
      </w:tblGrid>
      <w:tr w:rsidR="00B6728C" w14:paraId="4FC94494"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shd w:val="clear" w:color="auto" w:fill="DDEBF7"/>
          </w:tcPr>
          <w:p w14:paraId="52C028FA" w14:textId="77777777" w:rsidR="00B6728C" w:rsidRDefault="00A61170">
            <w:pPr>
              <w:jc w:val="center"/>
            </w:pPr>
            <w:r>
              <w:rPr>
                <w:sz w:val="18"/>
              </w:rPr>
              <w:t>BUILDING SIZE</w:t>
            </w:r>
          </w:p>
        </w:tc>
        <w:tc>
          <w:tcPr>
            <w:tcW w:w="2520" w:type="dxa"/>
            <w:shd w:val="clear" w:color="auto" w:fill="DDEBF7"/>
          </w:tcPr>
          <w:p w14:paraId="30F0DAC2"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sz w:val="18"/>
              </w:rPr>
              <w:t>PRICE / SF</w:t>
            </w:r>
          </w:p>
        </w:tc>
        <w:tc>
          <w:tcPr>
            <w:tcW w:w="2520" w:type="dxa"/>
            <w:shd w:val="clear" w:color="auto" w:fill="DDEBF7"/>
          </w:tcPr>
          <w:p w14:paraId="23051973"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sz w:val="18"/>
              </w:rPr>
              <w:t>TENANTS</w:t>
            </w:r>
          </w:p>
        </w:tc>
        <w:tc>
          <w:tcPr>
            <w:tcW w:w="2520" w:type="dxa"/>
            <w:shd w:val="clear" w:color="auto" w:fill="DDEBF7"/>
          </w:tcPr>
          <w:p w14:paraId="15AE0382"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sz w:val="18"/>
              </w:rPr>
              <w:t>PARKING</w:t>
            </w:r>
          </w:p>
        </w:tc>
      </w:tr>
      <w:tr w:rsidR="00B6728C" w14:paraId="3CC894D5"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Pr>
          <w:p w14:paraId="7758BE00" w14:textId="77777777" w:rsidR="00B6728C" w:rsidRDefault="00A61170">
            <w:pPr>
              <w:jc w:val="center"/>
            </w:pPr>
            <w:r>
              <w:t>5,700 SF</w:t>
            </w:r>
          </w:p>
        </w:tc>
        <w:tc>
          <w:tcPr>
            <w:tcW w:w="2520" w:type="dxa"/>
          </w:tcPr>
          <w:p w14:paraId="227DF6D8"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b/>
              </w:rPr>
              <w:t>$385.96</w:t>
            </w:r>
          </w:p>
        </w:tc>
        <w:tc>
          <w:tcPr>
            <w:tcW w:w="2520" w:type="dxa"/>
          </w:tcPr>
          <w:p w14:paraId="55738539"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b/>
              </w:rPr>
              <w:t>3</w:t>
            </w:r>
          </w:p>
        </w:tc>
        <w:tc>
          <w:tcPr>
            <w:tcW w:w="2520" w:type="dxa"/>
          </w:tcPr>
          <w:p w14:paraId="4BCAC3DB"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b/>
              </w:rPr>
              <w:t>23 Spaces</w:t>
            </w:r>
          </w:p>
        </w:tc>
      </w:tr>
    </w:tbl>
    <w:p w14:paraId="760274E9" w14:textId="77777777" w:rsidR="00B6728C" w:rsidRDefault="00B6728C"/>
    <w:p w14:paraId="574BFE10" w14:textId="77777777" w:rsidR="00B6728C" w:rsidRDefault="00B6728C"/>
    <w:p w14:paraId="195E898D" w14:textId="77777777" w:rsidR="00B6728C" w:rsidRDefault="00A61170">
      <w:pPr>
        <w:jc w:val="center"/>
      </w:pPr>
      <w:r>
        <w:rPr>
          <w:b/>
          <w:i/>
          <w:color w:val="1F4E79"/>
          <w:sz w:val="20"/>
        </w:rPr>
        <w:t>Listing Broker: Tony Chiu, Mega Realty · (626) 228-7899</w:t>
      </w:r>
    </w:p>
    <w:p w14:paraId="5ACFA29D" w14:textId="77777777" w:rsidR="00B6728C" w:rsidRDefault="00A61170">
      <w:r>
        <w:br w:type="page"/>
      </w:r>
    </w:p>
    <w:p w14:paraId="6A9E4A4F" w14:textId="77777777" w:rsidR="00B6728C" w:rsidRDefault="00A61170">
      <w:pPr>
        <w:spacing w:after="120"/>
      </w:pPr>
      <w:r>
        <w:rPr>
          <w:b/>
          <w:color w:val="1F4E79"/>
          <w:sz w:val="40"/>
        </w:rPr>
        <w:lastRenderedPageBreak/>
        <w:t>Executive Summary</w:t>
      </w:r>
    </w:p>
    <w:p w14:paraId="55959A68" w14:textId="77777777" w:rsidR="00B6728C" w:rsidRDefault="00A61170">
      <w:r>
        <w:t xml:space="preserve">Summit Plaza is a fully leased, three-tenant retail strip center located on a high-visibility 111-foot frontage along S. Glynn Street (US Highway 85), one of the primary north-south retail corridors in Fayetteville, Georgia. The property is offered at $2,200,000, representing a 6.05% capitalization rate on in-place net operating income of $133,102. With staggered lease expirations (2027, 2028, 2029), low operating expense ratio, and substantial CAM reimbursement coverage, Summit Plaza offers an investor an </w:t>
      </w:r>
      <w:r>
        <w:t>immediately stabilized, low-management income stream with built-in mark-to-market upside.</w:t>
      </w:r>
    </w:p>
    <w:p w14:paraId="67515C39" w14:textId="77777777" w:rsidR="00B6728C" w:rsidRDefault="00B6728C"/>
    <w:p w14:paraId="374BEBBF" w14:textId="77777777" w:rsidR="00B6728C" w:rsidRDefault="00A61170">
      <w:r>
        <w:t>The asset is located in Fayette County, one of the highest-income counties in Georgia, approximately 25 miles south of downtown Atlanta and 22 miles south of Hartsfield-Jackson Atlanta International Airport — North America's busiest passenger airport.</w:t>
      </w:r>
    </w:p>
    <w:p w14:paraId="769FCD95" w14:textId="77777777" w:rsidR="00B6728C" w:rsidRDefault="00B6728C"/>
    <w:p w14:paraId="6B9ECD1B" w14:textId="77777777" w:rsidR="00B6728C" w:rsidRDefault="00A61170">
      <w:pPr>
        <w:spacing w:before="240" w:after="80"/>
      </w:pPr>
      <w:r>
        <w:rPr>
          <w:b/>
          <w:color w:val="2E75B6"/>
          <w:sz w:val="28"/>
        </w:rPr>
        <w:t>Investment Highlights</w:t>
      </w:r>
    </w:p>
    <w:p w14:paraId="462F67F0" w14:textId="77777777" w:rsidR="00B6728C" w:rsidRDefault="00A61170">
      <w:pPr>
        <w:pStyle w:val="ListBullet"/>
      </w:pPr>
      <w:r>
        <w:t>100% Occupied — All three units leased with staggered expirations (2027, 2028, 2029); no near-term vacancy risk.</w:t>
      </w:r>
    </w:p>
    <w:p w14:paraId="23B34804" w14:textId="77777777" w:rsidR="00B6728C" w:rsidRDefault="00A61170">
      <w:pPr>
        <w:pStyle w:val="ListBullet"/>
      </w:pPr>
      <w:r>
        <w:t>6.05% In-Place Cap Rate — Strong yield versus comparable Atlanta MSA suburban retail strip centers trading at 6.0%–7.0%.</w:t>
      </w:r>
    </w:p>
    <w:p w14:paraId="2FDE9586" w14:textId="77777777" w:rsidR="00B6728C" w:rsidRDefault="00A61170">
      <w:pPr>
        <w:pStyle w:val="ListBullet"/>
      </w:pPr>
      <w:r>
        <w:t>Stable NOI — In-place net operating income of $133,102 on a small, easy-to-manage 5,700 SF asset.</w:t>
      </w:r>
    </w:p>
    <w:p w14:paraId="091B07E1" w14:textId="77777777" w:rsidR="00B6728C" w:rsidRDefault="00A61170">
      <w:pPr>
        <w:pStyle w:val="ListBullet"/>
      </w:pPr>
      <w:r>
        <w:t>CAM Pass-Through — All three tenants reimburse CAM expenses; $28,716 annual CAM recovery covers 99.95% of the property's $28,730 operating expenses.</w:t>
      </w:r>
    </w:p>
    <w:p w14:paraId="6D0A002D" w14:textId="77777777" w:rsidR="00B6728C" w:rsidRDefault="00A61170">
      <w:pPr>
        <w:pStyle w:val="ListBullet"/>
      </w:pPr>
      <w:r>
        <w:t>High-Traffic Corridor — 111 feet of direct frontage on S. Glynn Street (US Highway 85), the principal retail corridor through Fayetteville; adjacent to established national tenants including Waffle House.</w:t>
      </w:r>
    </w:p>
    <w:p w14:paraId="33B5BC74" w14:textId="77777777" w:rsidR="00B6728C" w:rsidRDefault="00A61170">
      <w:pPr>
        <w:pStyle w:val="ListBullet"/>
      </w:pPr>
      <w:r>
        <w:t>Diversified Tenant Mix — Three distinct industries (food service, personal services, tobacco/vape) reduce concentration risk.</w:t>
      </w:r>
    </w:p>
    <w:p w14:paraId="5E0B7C97" w14:textId="77777777" w:rsidR="00B6728C" w:rsidRDefault="00A61170">
      <w:pPr>
        <w:pStyle w:val="ListBullet"/>
      </w:pPr>
      <w:r>
        <w:t>Long-Term Anchor Tenant — AZN (Unit A/B, 2,900 SF, 51% of GLA) is a fast-casual food service operator with a lease term through 2029.</w:t>
      </w:r>
    </w:p>
    <w:p w14:paraId="79B78D83" w14:textId="77777777" w:rsidR="00B6728C" w:rsidRDefault="00A61170">
      <w:pPr>
        <w:pStyle w:val="ListBullet"/>
      </w:pPr>
      <w:r>
        <w:t>Fayette County Demographics — One of Georgia's highest median household income counties (~$100K+), supporting durable retail demand.</w:t>
      </w:r>
    </w:p>
    <w:p w14:paraId="11BCC092" w14:textId="77777777" w:rsidR="00B6728C" w:rsidRDefault="00A61170">
      <w:pPr>
        <w:pStyle w:val="ListBullet"/>
      </w:pPr>
      <w:r>
        <w:t>Atlanta MSA Position — 25 miles south of downtown Atlanta and proximate to Hartsfield-Jackson Atlanta International Airport.</w:t>
      </w:r>
    </w:p>
    <w:p w14:paraId="11345CC3" w14:textId="77777777" w:rsidR="00B6728C" w:rsidRDefault="00B6728C"/>
    <w:p w14:paraId="20D74F67" w14:textId="77777777" w:rsidR="00B6728C" w:rsidRDefault="00A61170">
      <w:r>
        <w:br w:type="page"/>
      </w:r>
    </w:p>
    <w:p w14:paraId="7F0DDC7C" w14:textId="77777777" w:rsidR="00B6728C" w:rsidRDefault="00A61170">
      <w:pPr>
        <w:spacing w:after="120"/>
      </w:pPr>
      <w:r>
        <w:rPr>
          <w:b/>
          <w:color w:val="1F4E79"/>
          <w:sz w:val="40"/>
        </w:rPr>
        <w:lastRenderedPageBreak/>
        <w:t>Property Overview</w:t>
      </w:r>
    </w:p>
    <w:p w14:paraId="51D0787B" w14:textId="77777777" w:rsidR="00B6728C" w:rsidRDefault="00A61170">
      <w:pPr>
        <w:spacing w:before="240" w:after="80"/>
      </w:pPr>
      <w:r>
        <w:rPr>
          <w:b/>
          <w:color w:val="2E75B6"/>
          <w:sz w:val="28"/>
        </w:rPr>
        <w:t>Property Information</w:t>
      </w:r>
    </w:p>
    <w:tbl>
      <w:tblPr>
        <w:tblStyle w:val="LightGrid-Accent1"/>
        <w:tblW w:w="0" w:type="auto"/>
        <w:tblLook w:val="04A0" w:firstRow="1" w:lastRow="0" w:firstColumn="1" w:lastColumn="0" w:noHBand="0" w:noVBand="1"/>
      </w:tblPr>
      <w:tblGrid>
        <w:gridCol w:w="5030"/>
        <w:gridCol w:w="5030"/>
      </w:tblGrid>
      <w:tr w:rsidR="00B6728C" w14:paraId="36A5EDE9"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45AAF534" w14:textId="77777777" w:rsidR="00B6728C" w:rsidRDefault="00A61170">
            <w:r>
              <w:rPr>
                <w:sz w:val="21"/>
              </w:rPr>
              <w:t>Property Name</w:t>
            </w:r>
          </w:p>
        </w:tc>
        <w:tc>
          <w:tcPr>
            <w:tcW w:w="5040" w:type="dxa"/>
          </w:tcPr>
          <w:p w14:paraId="4A8DA2A8" w14:textId="77777777" w:rsidR="00B6728C" w:rsidRDefault="00A61170">
            <w:pPr>
              <w:cnfStyle w:val="100000000000" w:firstRow="1" w:lastRow="0" w:firstColumn="0" w:lastColumn="0" w:oddVBand="0" w:evenVBand="0" w:oddHBand="0" w:evenHBand="0" w:firstRowFirstColumn="0" w:firstRowLastColumn="0" w:lastRowFirstColumn="0" w:lastRowLastColumn="0"/>
            </w:pPr>
            <w:r>
              <w:rPr>
                <w:sz w:val="21"/>
              </w:rPr>
              <w:t>Summit Plaza</w:t>
            </w:r>
          </w:p>
        </w:tc>
      </w:tr>
      <w:tr w:rsidR="00B6728C" w14:paraId="08C45B3E"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16A4C62F" w14:textId="77777777" w:rsidR="00B6728C" w:rsidRDefault="00A61170">
            <w:r>
              <w:rPr>
                <w:sz w:val="21"/>
              </w:rPr>
              <w:t>Address</w:t>
            </w:r>
          </w:p>
        </w:tc>
        <w:tc>
          <w:tcPr>
            <w:tcW w:w="5040" w:type="dxa"/>
          </w:tcPr>
          <w:p w14:paraId="4A53B7F0"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790 S. Glynn Street, Fayetteville, GA 30214</w:t>
            </w:r>
          </w:p>
        </w:tc>
      </w:tr>
      <w:tr w:rsidR="00B6728C" w14:paraId="78B0C8E5"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6FECFFF6" w14:textId="77777777" w:rsidR="00B6728C" w:rsidRDefault="00A61170">
            <w:r>
              <w:rPr>
                <w:sz w:val="21"/>
              </w:rPr>
              <w:t>County</w:t>
            </w:r>
          </w:p>
        </w:tc>
        <w:tc>
          <w:tcPr>
            <w:tcW w:w="5040" w:type="dxa"/>
          </w:tcPr>
          <w:p w14:paraId="7224612C"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Fayette County, Georgia</w:t>
            </w:r>
          </w:p>
        </w:tc>
      </w:tr>
      <w:tr w:rsidR="00B6728C" w14:paraId="2024CE0C"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3117F965" w14:textId="77777777" w:rsidR="00B6728C" w:rsidRDefault="00A61170">
            <w:r>
              <w:rPr>
                <w:sz w:val="21"/>
              </w:rPr>
              <w:t>Submarket</w:t>
            </w:r>
          </w:p>
        </w:tc>
        <w:tc>
          <w:tcPr>
            <w:tcW w:w="5040" w:type="dxa"/>
          </w:tcPr>
          <w:p w14:paraId="7FC7696F"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South Atlanta MSA</w:t>
            </w:r>
          </w:p>
        </w:tc>
      </w:tr>
      <w:tr w:rsidR="00B6728C" w14:paraId="7687AEA8"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3F016C9D" w14:textId="77777777" w:rsidR="00B6728C" w:rsidRDefault="00A61170">
            <w:r>
              <w:rPr>
                <w:sz w:val="21"/>
              </w:rPr>
              <w:t>Property Type</w:t>
            </w:r>
          </w:p>
        </w:tc>
        <w:tc>
          <w:tcPr>
            <w:tcW w:w="5040" w:type="dxa"/>
          </w:tcPr>
          <w:p w14:paraId="34B09D1A"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Multi-Tenant Retail Strip Center</w:t>
            </w:r>
          </w:p>
        </w:tc>
      </w:tr>
      <w:tr w:rsidR="00B6728C" w14:paraId="538507AE"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4E44566C" w14:textId="77777777" w:rsidR="00B6728C" w:rsidRDefault="00A61170">
            <w:r>
              <w:rPr>
                <w:sz w:val="21"/>
              </w:rPr>
              <w:t>Building Size (GLA)</w:t>
            </w:r>
          </w:p>
        </w:tc>
        <w:tc>
          <w:tcPr>
            <w:tcW w:w="5040" w:type="dxa"/>
          </w:tcPr>
          <w:p w14:paraId="2EB43C96"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5,700 SF</w:t>
            </w:r>
          </w:p>
        </w:tc>
      </w:tr>
      <w:tr w:rsidR="00B6728C" w14:paraId="5E05328C"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3184791A" w14:textId="77777777" w:rsidR="00B6728C" w:rsidRDefault="00A61170">
            <w:r>
              <w:rPr>
                <w:sz w:val="21"/>
              </w:rPr>
              <w:t>Number of Units</w:t>
            </w:r>
          </w:p>
        </w:tc>
        <w:tc>
          <w:tcPr>
            <w:tcW w:w="5040" w:type="dxa"/>
          </w:tcPr>
          <w:p w14:paraId="42269A96"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3</w:t>
            </w:r>
          </w:p>
        </w:tc>
      </w:tr>
      <w:tr w:rsidR="00B6728C" w14:paraId="58964DBB"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08711EB2" w14:textId="77777777" w:rsidR="00B6728C" w:rsidRDefault="00A61170">
            <w:r>
              <w:rPr>
                <w:sz w:val="21"/>
              </w:rPr>
              <w:t>Occupancy</w:t>
            </w:r>
          </w:p>
        </w:tc>
        <w:tc>
          <w:tcPr>
            <w:tcW w:w="5040" w:type="dxa"/>
          </w:tcPr>
          <w:p w14:paraId="76B35379"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100% Leased</w:t>
            </w:r>
          </w:p>
        </w:tc>
      </w:tr>
      <w:tr w:rsidR="00B6728C" w14:paraId="7C3ECDC4"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1930D3AE" w14:textId="77777777" w:rsidR="00B6728C" w:rsidRDefault="00A61170">
            <w:r>
              <w:rPr>
                <w:sz w:val="21"/>
              </w:rPr>
              <w:t>Year Built</w:t>
            </w:r>
          </w:p>
        </w:tc>
        <w:tc>
          <w:tcPr>
            <w:tcW w:w="5040" w:type="dxa"/>
          </w:tcPr>
          <w:p w14:paraId="01357E66"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Existing, single-story strip center (stabilized)</w:t>
            </w:r>
          </w:p>
        </w:tc>
      </w:tr>
      <w:tr w:rsidR="00B6728C" w14:paraId="71EAF2C1"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1068D9AF" w14:textId="77777777" w:rsidR="00B6728C" w:rsidRDefault="00A61170">
            <w:r>
              <w:rPr>
                <w:sz w:val="21"/>
              </w:rPr>
              <w:t>Construction</w:t>
            </w:r>
          </w:p>
        </w:tc>
        <w:tc>
          <w:tcPr>
            <w:tcW w:w="5040" w:type="dxa"/>
          </w:tcPr>
          <w:p w14:paraId="2173C8CC"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Concrete masonry / steel-frame, single-story</w:t>
            </w:r>
          </w:p>
        </w:tc>
      </w:tr>
      <w:tr w:rsidR="00B6728C" w14:paraId="57978D64"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5D6FBC3D" w14:textId="77777777" w:rsidR="00B6728C" w:rsidRDefault="00A61170">
            <w:r>
              <w:rPr>
                <w:sz w:val="21"/>
              </w:rPr>
              <w:t>Parcel ID</w:t>
            </w:r>
          </w:p>
        </w:tc>
        <w:tc>
          <w:tcPr>
            <w:tcW w:w="5040" w:type="dxa"/>
          </w:tcPr>
          <w:p w14:paraId="2295602E"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0517 011</w:t>
            </w:r>
          </w:p>
        </w:tc>
      </w:tr>
      <w:tr w:rsidR="00B6728C" w14:paraId="56F4BDEB"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6C181682" w14:textId="77777777" w:rsidR="00B6728C" w:rsidRDefault="00A61170">
            <w:r>
              <w:rPr>
                <w:sz w:val="21"/>
              </w:rPr>
              <w:t>Legal Description</w:t>
            </w:r>
          </w:p>
        </w:tc>
        <w:tc>
          <w:tcPr>
            <w:tcW w:w="5040" w:type="dxa"/>
          </w:tcPr>
          <w:p w14:paraId="7324699E"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Land Lot 91, 5th District, Fayette County, GA</w:t>
            </w:r>
          </w:p>
        </w:tc>
      </w:tr>
      <w:tr w:rsidR="00B6728C" w14:paraId="7A6B9A88"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0626D364" w14:textId="77777777" w:rsidR="00B6728C" w:rsidRDefault="00A61170">
            <w:r>
              <w:rPr>
                <w:sz w:val="21"/>
              </w:rPr>
              <w:t>Lease Structure</w:t>
            </w:r>
          </w:p>
        </w:tc>
        <w:tc>
          <w:tcPr>
            <w:tcW w:w="5040" w:type="dxa"/>
          </w:tcPr>
          <w:p w14:paraId="1A884FD7"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Three NNN-Lite leases with CAM reimbursement</w:t>
            </w:r>
          </w:p>
        </w:tc>
      </w:tr>
    </w:tbl>
    <w:p w14:paraId="0D1452CA" w14:textId="77777777" w:rsidR="00B6728C" w:rsidRDefault="00B6728C"/>
    <w:p w14:paraId="5FB8BAC4" w14:textId="77777777" w:rsidR="00B6728C" w:rsidRDefault="00A61170">
      <w:pPr>
        <w:spacing w:before="240" w:after="80"/>
      </w:pPr>
      <w:r>
        <w:rPr>
          <w:b/>
          <w:color w:val="2E75B6"/>
          <w:sz w:val="28"/>
        </w:rPr>
        <w:t>Site &amp; Location</w:t>
      </w:r>
    </w:p>
    <w:tbl>
      <w:tblPr>
        <w:tblStyle w:val="LightGrid-Accent1"/>
        <w:tblW w:w="0" w:type="auto"/>
        <w:tblLook w:val="04A0" w:firstRow="1" w:lastRow="0" w:firstColumn="1" w:lastColumn="0" w:noHBand="0" w:noVBand="1"/>
      </w:tblPr>
      <w:tblGrid>
        <w:gridCol w:w="5030"/>
        <w:gridCol w:w="5030"/>
      </w:tblGrid>
      <w:tr w:rsidR="00B6728C" w14:paraId="14271400"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4CE1D18F" w14:textId="77777777" w:rsidR="00B6728C" w:rsidRDefault="00A61170">
            <w:r>
              <w:rPr>
                <w:sz w:val="21"/>
              </w:rPr>
              <w:t>Street Frontage</w:t>
            </w:r>
          </w:p>
        </w:tc>
        <w:tc>
          <w:tcPr>
            <w:tcW w:w="5040" w:type="dxa"/>
          </w:tcPr>
          <w:p w14:paraId="0E314B6C" w14:textId="77777777" w:rsidR="00B6728C" w:rsidRDefault="00A61170">
            <w:pPr>
              <w:cnfStyle w:val="100000000000" w:firstRow="1" w:lastRow="0" w:firstColumn="0" w:lastColumn="0" w:oddVBand="0" w:evenVBand="0" w:oddHBand="0" w:evenHBand="0" w:firstRowFirstColumn="0" w:firstRowLastColumn="0" w:lastRowFirstColumn="0" w:lastRowLastColumn="0"/>
            </w:pPr>
            <w:r>
              <w:rPr>
                <w:sz w:val="21"/>
              </w:rPr>
              <w:t>111 feet on S. Glynn Street (US Highway 85)</w:t>
            </w:r>
          </w:p>
        </w:tc>
      </w:tr>
      <w:tr w:rsidR="00B6728C" w14:paraId="42BBBF0C"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3A370C75" w14:textId="77777777" w:rsidR="00B6728C" w:rsidRDefault="00A61170">
            <w:r>
              <w:rPr>
                <w:sz w:val="21"/>
              </w:rPr>
              <w:t>Parking</w:t>
            </w:r>
          </w:p>
        </w:tc>
        <w:tc>
          <w:tcPr>
            <w:tcW w:w="5040" w:type="dxa"/>
          </w:tcPr>
          <w:p w14:paraId="6CE5B0C7"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23 surface spaces (4.0 per 1,000 SF GLA)</w:t>
            </w:r>
          </w:p>
        </w:tc>
      </w:tr>
      <w:tr w:rsidR="00B6728C" w14:paraId="6D0840A4"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379D19D5" w14:textId="77777777" w:rsidR="00B6728C" w:rsidRDefault="00A61170">
            <w:r>
              <w:rPr>
                <w:sz w:val="21"/>
              </w:rPr>
              <w:t>Access</w:t>
            </w:r>
          </w:p>
        </w:tc>
        <w:tc>
          <w:tcPr>
            <w:tcW w:w="5040" w:type="dxa"/>
          </w:tcPr>
          <w:p w14:paraId="20F4DE7E"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Direct curb-cut access to S. Glynn Street</w:t>
            </w:r>
          </w:p>
        </w:tc>
      </w:tr>
      <w:tr w:rsidR="00B6728C" w14:paraId="28DCB244"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70A4CE9C" w14:textId="77777777" w:rsidR="00B6728C" w:rsidRDefault="00A61170">
            <w:r>
              <w:rPr>
                <w:sz w:val="21"/>
              </w:rPr>
              <w:t>Visibility</w:t>
            </w:r>
          </w:p>
        </w:tc>
        <w:tc>
          <w:tcPr>
            <w:tcW w:w="5040" w:type="dxa"/>
          </w:tcPr>
          <w:p w14:paraId="7D971A66"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High — primary signage along US-85 corridor</w:t>
            </w:r>
          </w:p>
        </w:tc>
      </w:tr>
      <w:tr w:rsidR="00B6728C" w14:paraId="66AF4572"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35AFB43E" w14:textId="77777777" w:rsidR="00B6728C" w:rsidRDefault="00A61170">
            <w:r>
              <w:rPr>
                <w:sz w:val="21"/>
              </w:rPr>
              <w:t>Adjacent Tenants</w:t>
            </w:r>
          </w:p>
        </w:tc>
        <w:tc>
          <w:tcPr>
            <w:tcW w:w="5040" w:type="dxa"/>
          </w:tcPr>
          <w:p w14:paraId="30A28AB0"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Waffle House (immediately adjacent); other established retail</w:t>
            </w:r>
          </w:p>
        </w:tc>
      </w:tr>
      <w:tr w:rsidR="00B6728C" w14:paraId="797D2222"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6D081980" w14:textId="77777777" w:rsidR="00B6728C" w:rsidRDefault="00A61170">
            <w:r>
              <w:rPr>
                <w:sz w:val="21"/>
              </w:rPr>
              <w:t>Corridor Profile</w:t>
            </w:r>
          </w:p>
        </w:tc>
        <w:tc>
          <w:tcPr>
            <w:tcW w:w="5040" w:type="dxa"/>
          </w:tcPr>
          <w:p w14:paraId="6AC743B3"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Primary north-south retail corridor through Fayetteville</w:t>
            </w:r>
          </w:p>
        </w:tc>
      </w:tr>
      <w:tr w:rsidR="00B6728C" w14:paraId="1B559A9E"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50937926" w14:textId="77777777" w:rsidR="00B6728C" w:rsidRDefault="00A61170">
            <w:r>
              <w:rPr>
                <w:sz w:val="21"/>
              </w:rPr>
              <w:t>Atlanta CBD</w:t>
            </w:r>
          </w:p>
        </w:tc>
        <w:tc>
          <w:tcPr>
            <w:tcW w:w="5040" w:type="dxa"/>
          </w:tcPr>
          <w:p w14:paraId="449B77F4"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~25 miles north</w:t>
            </w:r>
          </w:p>
        </w:tc>
      </w:tr>
      <w:tr w:rsidR="00B6728C" w14:paraId="1249219B"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3E19641C" w14:textId="77777777" w:rsidR="00B6728C" w:rsidRDefault="00A61170">
            <w:r>
              <w:rPr>
                <w:sz w:val="21"/>
              </w:rPr>
              <w:t>Hartsfield-Jackson Airport</w:t>
            </w:r>
          </w:p>
        </w:tc>
        <w:tc>
          <w:tcPr>
            <w:tcW w:w="5040" w:type="dxa"/>
          </w:tcPr>
          <w:p w14:paraId="6F224F4D"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~22 miles north</w:t>
            </w:r>
          </w:p>
        </w:tc>
      </w:tr>
    </w:tbl>
    <w:p w14:paraId="1A9AE8B0" w14:textId="77777777" w:rsidR="00B6728C" w:rsidRDefault="00A61170">
      <w:r>
        <w:br w:type="page"/>
      </w:r>
    </w:p>
    <w:p w14:paraId="43DD7650" w14:textId="77777777" w:rsidR="00B6728C" w:rsidRDefault="00A61170">
      <w:pPr>
        <w:spacing w:after="120"/>
      </w:pPr>
      <w:r>
        <w:rPr>
          <w:b/>
          <w:color w:val="1F4E79"/>
          <w:sz w:val="40"/>
        </w:rPr>
        <w:lastRenderedPageBreak/>
        <w:t>Financial Overview</w:t>
      </w:r>
    </w:p>
    <w:p w14:paraId="2210B4C1" w14:textId="77777777" w:rsidR="00B6728C" w:rsidRDefault="00A61170">
      <w:pPr>
        <w:spacing w:before="240" w:after="80"/>
      </w:pPr>
      <w:r>
        <w:rPr>
          <w:b/>
          <w:color w:val="2E75B6"/>
          <w:sz w:val="28"/>
        </w:rPr>
        <w:t>Pricing Summary</w:t>
      </w:r>
    </w:p>
    <w:tbl>
      <w:tblPr>
        <w:tblStyle w:val="LightGrid-Accent1"/>
        <w:tblW w:w="0" w:type="auto"/>
        <w:tblLook w:val="04A0" w:firstRow="1" w:lastRow="0" w:firstColumn="1" w:lastColumn="0" w:noHBand="0" w:noVBand="1"/>
      </w:tblPr>
      <w:tblGrid>
        <w:gridCol w:w="5030"/>
        <w:gridCol w:w="5030"/>
      </w:tblGrid>
      <w:tr w:rsidR="00B6728C" w14:paraId="75A19BC7"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75F313D8" w14:textId="77777777" w:rsidR="00B6728C" w:rsidRDefault="00A61170">
            <w:r>
              <w:rPr>
                <w:sz w:val="21"/>
              </w:rPr>
              <w:t>Asking Price</w:t>
            </w:r>
          </w:p>
        </w:tc>
        <w:tc>
          <w:tcPr>
            <w:tcW w:w="5040" w:type="dxa"/>
          </w:tcPr>
          <w:p w14:paraId="094D4D78" w14:textId="77777777" w:rsidR="00B6728C" w:rsidRDefault="00A61170">
            <w:pPr>
              <w:cnfStyle w:val="100000000000" w:firstRow="1" w:lastRow="0" w:firstColumn="0" w:lastColumn="0" w:oddVBand="0" w:evenVBand="0" w:oddHBand="0" w:evenHBand="0" w:firstRowFirstColumn="0" w:firstRowLastColumn="0" w:lastRowFirstColumn="0" w:lastRowLastColumn="0"/>
            </w:pPr>
            <w:r>
              <w:rPr>
                <w:sz w:val="21"/>
              </w:rPr>
              <w:t>$2,200,000</w:t>
            </w:r>
          </w:p>
        </w:tc>
      </w:tr>
      <w:tr w:rsidR="00B6728C" w14:paraId="2F9BF271"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53E2216B" w14:textId="77777777" w:rsidR="00B6728C" w:rsidRDefault="00A61170">
            <w:r>
              <w:rPr>
                <w:sz w:val="21"/>
              </w:rPr>
              <w:t>Price Per Square Foot</w:t>
            </w:r>
          </w:p>
        </w:tc>
        <w:tc>
          <w:tcPr>
            <w:tcW w:w="5040" w:type="dxa"/>
          </w:tcPr>
          <w:p w14:paraId="2528F717"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$385.96 / SF</w:t>
            </w:r>
          </w:p>
        </w:tc>
      </w:tr>
      <w:tr w:rsidR="00B6728C" w14:paraId="5E7BA769"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0CB09EAA" w14:textId="77777777" w:rsidR="00B6728C" w:rsidRDefault="00A61170">
            <w:r>
              <w:rPr>
                <w:sz w:val="21"/>
              </w:rPr>
              <w:t>Cap Rate (In-Place)</w:t>
            </w:r>
          </w:p>
        </w:tc>
        <w:tc>
          <w:tcPr>
            <w:tcW w:w="5040" w:type="dxa"/>
          </w:tcPr>
          <w:p w14:paraId="6EC3896A"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6.05%</w:t>
            </w:r>
          </w:p>
        </w:tc>
      </w:tr>
      <w:tr w:rsidR="00B6728C" w14:paraId="6DB4DB3B"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48D24362" w14:textId="77777777" w:rsidR="00B6728C" w:rsidRDefault="00A61170">
            <w:r>
              <w:rPr>
                <w:sz w:val="21"/>
              </w:rPr>
              <w:t>Net Operating Income (Year 1)</w:t>
            </w:r>
          </w:p>
        </w:tc>
        <w:tc>
          <w:tcPr>
            <w:tcW w:w="5040" w:type="dxa"/>
          </w:tcPr>
          <w:p w14:paraId="456FD115"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$133,102</w:t>
            </w:r>
          </w:p>
        </w:tc>
      </w:tr>
      <w:tr w:rsidR="00B6728C" w14:paraId="63CB8B4E"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4E4B6703" w14:textId="77777777" w:rsidR="00B6728C" w:rsidRDefault="00A61170">
            <w:r>
              <w:rPr>
                <w:sz w:val="21"/>
              </w:rPr>
              <w:t>Gross Scheduled Income (Year 1)</w:t>
            </w:r>
          </w:p>
        </w:tc>
        <w:tc>
          <w:tcPr>
            <w:tcW w:w="5040" w:type="dxa"/>
          </w:tcPr>
          <w:p w14:paraId="3DBBAC3E"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$161,832</w:t>
            </w:r>
          </w:p>
        </w:tc>
      </w:tr>
      <w:tr w:rsidR="00B6728C" w14:paraId="4852FC70"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12AC25CD" w14:textId="77777777" w:rsidR="00B6728C" w:rsidRDefault="00A61170">
            <w:r>
              <w:rPr>
                <w:sz w:val="21"/>
              </w:rPr>
              <w:t>Operating Expense Ratio</w:t>
            </w:r>
          </w:p>
        </w:tc>
        <w:tc>
          <w:tcPr>
            <w:tcW w:w="5040" w:type="dxa"/>
          </w:tcPr>
          <w:p w14:paraId="7132E39D"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17.8% of Gross Income</w:t>
            </w:r>
          </w:p>
        </w:tc>
      </w:tr>
      <w:tr w:rsidR="00B6728C" w14:paraId="1DD1BFD1"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32AB3F03" w14:textId="77777777" w:rsidR="00B6728C" w:rsidRDefault="00A61170">
            <w:r>
              <w:rPr>
                <w:sz w:val="21"/>
              </w:rPr>
              <w:t>Expense Recovery (CAM)</w:t>
            </w:r>
          </w:p>
        </w:tc>
        <w:tc>
          <w:tcPr>
            <w:tcW w:w="5040" w:type="dxa"/>
          </w:tcPr>
          <w:p w14:paraId="6E9D2643"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99.95% of Operating Expenses</w:t>
            </w:r>
          </w:p>
        </w:tc>
      </w:tr>
    </w:tbl>
    <w:p w14:paraId="12B888EC" w14:textId="77777777" w:rsidR="00B6728C" w:rsidRDefault="00B6728C"/>
    <w:p w14:paraId="4C6990F6" w14:textId="77777777" w:rsidR="00B6728C" w:rsidRDefault="00A61170">
      <w:pPr>
        <w:spacing w:before="240" w:after="80"/>
      </w:pPr>
      <w:r>
        <w:rPr>
          <w:b/>
          <w:color w:val="2E75B6"/>
          <w:sz w:val="28"/>
        </w:rPr>
        <w:t>Income &amp; Expenses (In-Place, Year 1)</w:t>
      </w:r>
    </w:p>
    <w:tbl>
      <w:tblPr>
        <w:tblStyle w:val="LightGrid-Accent1"/>
        <w:tblW w:w="0" w:type="auto"/>
        <w:tblLook w:val="04A0" w:firstRow="1" w:lastRow="0" w:firstColumn="1" w:lastColumn="0" w:noHBand="0" w:noVBand="1"/>
      </w:tblPr>
      <w:tblGrid>
        <w:gridCol w:w="3354"/>
        <w:gridCol w:w="3353"/>
        <w:gridCol w:w="3353"/>
      </w:tblGrid>
      <w:tr w:rsidR="00B6728C" w14:paraId="791FADC1"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shd w:val="clear" w:color="auto" w:fill="1F4E79"/>
          </w:tcPr>
          <w:p w14:paraId="08EB154C" w14:textId="77777777" w:rsidR="00B6728C" w:rsidRDefault="00A61170">
            <w:r>
              <w:rPr>
                <w:color w:val="FFFFFF"/>
                <w:sz w:val="21"/>
              </w:rPr>
              <w:t>INCOME</w:t>
            </w:r>
          </w:p>
        </w:tc>
        <w:tc>
          <w:tcPr>
            <w:tcW w:w="3360" w:type="dxa"/>
            <w:shd w:val="clear" w:color="auto" w:fill="1F4E79"/>
          </w:tcPr>
          <w:p w14:paraId="3D9CB59D"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21"/>
              </w:rPr>
              <w:t>Monthly</w:t>
            </w:r>
          </w:p>
        </w:tc>
        <w:tc>
          <w:tcPr>
            <w:tcW w:w="3360" w:type="dxa"/>
            <w:shd w:val="clear" w:color="auto" w:fill="1F4E79"/>
          </w:tcPr>
          <w:p w14:paraId="3FF019EF"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21"/>
              </w:rPr>
              <w:t>Annual</w:t>
            </w:r>
          </w:p>
        </w:tc>
      </w:tr>
      <w:tr w:rsidR="00B6728C" w14:paraId="41BA8730"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4F59AD57" w14:textId="77777777" w:rsidR="00B6728C" w:rsidRDefault="00A61170">
            <w:r>
              <w:rPr>
                <w:sz w:val="21"/>
              </w:rPr>
              <w:t>Base Rental Income</w:t>
            </w:r>
          </w:p>
        </w:tc>
        <w:tc>
          <w:tcPr>
            <w:tcW w:w="3360" w:type="dxa"/>
          </w:tcPr>
          <w:p w14:paraId="3E5BAF8F" w14:textId="77777777" w:rsidR="00B6728C" w:rsidRDefault="00A61170">
            <w:pPr>
              <w:jc w:val="right"/>
              <w:cnfStyle w:val="000000100000" w:firstRow="0" w:lastRow="0" w:firstColumn="0" w:lastColumn="0" w:oddVBand="0" w:evenVBand="0" w:oddHBand="1" w:evenHBand="0" w:firstRowFirstColumn="0" w:firstRowLastColumn="0" w:lastRowFirstColumn="0" w:lastRowLastColumn="0"/>
            </w:pPr>
            <w:r>
              <w:rPr>
                <w:sz w:val="21"/>
              </w:rPr>
              <w:t>$11,093</w:t>
            </w:r>
          </w:p>
        </w:tc>
        <w:tc>
          <w:tcPr>
            <w:tcW w:w="3360" w:type="dxa"/>
          </w:tcPr>
          <w:p w14:paraId="5E6AC954" w14:textId="77777777" w:rsidR="00B6728C" w:rsidRDefault="00A61170">
            <w:pPr>
              <w:jc w:val="right"/>
              <w:cnfStyle w:val="000000100000" w:firstRow="0" w:lastRow="0" w:firstColumn="0" w:lastColumn="0" w:oddVBand="0" w:evenVBand="0" w:oddHBand="1" w:evenHBand="0" w:firstRowFirstColumn="0" w:firstRowLastColumn="0" w:lastRowFirstColumn="0" w:lastRowLastColumn="0"/>
            </w:pPr>
            <w:r>
              <w:rPr>
                <w:sz w:val="21"/>
              </w:rPr>
              <w:t>$133,116</w:t>
            </w:r>
          </w:p>
        </w:tc>
      </w:tr>
      <w:tr w:rsidR="00B6728C" w14:paraId="592DF4F6"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2BE116F4" w14:textId="77777777" w:rsidR="00B6728C" w:rsidRDefault="00A61170">
            <w:r>
              <w:rPr>
                <w:sz w:val="21"/>
              </w:rPr>
              <w:t>CAM Recovery</w:t>
            </w:r>
          </w:p>
        </w:tc>
        <w:tc>
          <w:tcPr>
            <w:tcW w:w="3360" w:type="dxa"/>
          </w:tcPr>
          <w:p w14:paraId="753A524C" w14:textId="77777777" w:rsidR="00B6728C" w:rsidRDefault="00A61170">
            <w:pPr>
              <w:jc w:val="right"/>
              <w:cnfStyle w:val="000000010000" w:firstRow="0" w:lastRow="0" w:firstColumn="0" w:lastColumn="0" w:oddVBand="0" w:evenVBand="0" w:oddHBand="0" w:evenHBand="1" w:firstRowFirstColumn="0" w:firstRowLastColumn="0" w:lastRowFirstColumn="0" w:lastRowLastColumn="0"/>
            </w:pPr>
            <w:r>
              <w:rPr>
                <w:sz w:val="21"/>
              </w:rPr>
              <w:t>$2,393</w:t>
            </w:r>
          </w:p>
        </w:tc>
        <w:tc>
          <w:tcPr>
            <w:tcW w:w="3360" w:type="dxa"/>
          </w:tcPr>
          <w:p w14:paraId="59742EA2" w14:textId="77777777" w:rsidR="00B6728C" w:rsidRDefault="00A61170">
            <w:pPr>
              <w:jc w:val="right"/>
              <w:cnfStyle w:val="000000010000" w:firstRow="0" w:lastRow="0" w:firstColumn="0" w:lastColumn="0" w:oddVBand="0" w:evenVBand="0" w:oddHBand="0" w:evenHBand="1" w:firstRowFirstColumn="0" w:firstRowLastColumn="0" w:lastRowFirstColumn="0" w:lastRowLastColumn="0"/>
            </w:pPr>
            <w:r>
              <w:rPr>
                <w:sz w:val="21"/>
              </w:rPr>
              <w:t>$28,716</w:t>
            </w:r>
          </w:p>
        </w:tc>
      </w:tr>
      <w:tr w:rsidR="00B6728C" w14:paraId="1C95AD47"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shd w:val="clear" w:color="auto" w:fill="DDEBF7"/>
          </w:tcPr>
          <w:p w14:paraId="531B61B9" w14:textId="77777777" w:rsidR="00B6728C" w:rsidRDefault="00A61170">
            <w:r>
              <w:rPr>
                <w:sz w:val="21"/>
              </w:rPr>
              <w:t>Total Gross Scheduled Income</w:t>
            </w:r>
          </w:p>
        </w:tc>
        <w:tc>
          <w:tcPr>
            <w:tcW w:w="3360" w:type="dxa"/>
            <w:shd w:val="clear" w:color="auto" w:fill="DDEBF7"/>
          </w:tcPr>
          <w:p w14:paraId="5C80E6AC" w14:textId="77777777" w:rsidR="00B6728C" w:rsidRDefault="00A61170">
            <w:pPr>
              <w:jc w:val="right"/>
              <w:cnfStyle w:val="000000100000" w:firstRow="0" w:lastRow="0" w:firstColumn="0" w:lastColumn="0" w:oddVBand="0" w:evenVBand="0" w:oddHBand="1" w:evenHBand="0" w:firstRowFirstColumn="0" w:firstRowLastColumn="0" w:lastRowFirstColumn="0" w:lastRowLastColumn="0"/>
            </w:pPr>
            <w:r>
              <w:rPr>
                <w:b/>
                <w:sz w:val="21"/>
              </w:rPr>
              <w:t>$13,486</w:t>
            </w:r>
          </w:p>
        </w:tc>
        <w:tc>
          <w:tcPr>
            <w:tcW w:w="3360" w:type="dxa"/>
            <w:shd w:val="clear" w:color="auto" w:fill="DDEBF7"/>
          </w:tcPr>
          <w:p w14:paraId="581E46F9" w14:textId="77777777" w:rsidR="00B6728C" w:rsidRDefault="00A61170">
            <w:pPr>
              <w:jc w:val="right"/>
              <w:cnfStyle w:val="000000100000" w:firstRow="0" w:lastRow="0" w:firstColumn="0" w:lastColumn="0" w:oddVBand="0" w:evenVBand="0" w:oddHBand="1" w:evenHBand="0" w:firstRowFirstColumn="0" w:firstRowLastColumn="0" w:lastRowFirstColumn="0" w:lastRowLastColumn="0"/>
            </w:pPr>
            <w:r>
              <w:rPr>
                <w:b/>
                <w:sz w:val="21"/>
              </w:rPr>
              <w:t>$161,832</w:t>
            </w:r>
          </w:p>
        </w:tc>
      </w:tr>
    </w:tbl>
    <w:p w14:paraId="35254912" w14:textId="77777777" w:rsidR="00B6728C" w:rsidRDefault="00B6728C"/>
    <w:tbl>
      <w:tblPr>
        <w:tblStyle w:val="LightGrid-Accent1"/>
        <w:tblW w:w="0" w:type="auto"/>
        <w:tblLook w:val="04A0" w:firstRow="1" w:lastRow="0" w:firstColumn="1" w:lastColumn="0" w:noHBand="0" w:noVBand="1"/>
      </w:tblPr>
      <w:tblGrid>
        <w:gridCol w:w="3354"/>
        <w:gridCol w:w="3353"/>
        <w:gridCol w:w="3353"/>
      </w:tblGrid>
      <w:tr w:rsidR="00B6728C" w14:paraId="2F32F13E"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shd w:val="clear" w:color="auto" w:fill="1F4E79"/>
          </w:tcPr>
          <w:p w14:paraId="72710DEE" w14:textId="77777777" w:rsidR="00B6728C" w:rsidRDefault="00A61170">
            <w:r>
              <w:rPr>
                <w:color w:val="FFFFFF"/>
                <w:sz w:val="21"/>
              </w:rPr>
              <w:t>OPERATING EXPENSES</w:t>
            </w:r>
          </w:p>
        </w:tc>
        <w:tc>
          <w:tcPr>
            <w:tcW w:w="3360" w:type="dxa"/>
            <w:shd w:val="clear" w:color="auto" w:fill="1F4E79"/>
          </w:tcPr>
          <w:p w14:paraId="76304DDB"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21"/>
              </w:rPr>
              <w:t>Monthly</w:t>
            </w:r>
          </w:p>
        </w:tc>
        <w:tc>
          <w:tcPr>
            <w:tcW w:w="3360" w:type="dxa"/>
            <w:shd w:val="clear" w:color="auto" w:fill="1F4E79"/>
          </w:tcPr>
          <w:p w14:paraId="3627C810"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21"/>
              </w:rPr>
              <w:t>Annual</w:t>
            </w:r>
          </w:p>
        </w:tc>
      </w:tr>
      <w:tr w:rsidR="00B6728C" w14:paraId="64E34E44"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505DB2C9" w14:textId="77777777" w:rsidR="00B6728C" w:rsidRDefault="00A61170">
            <w:r>
              <w:rPr>
                <w:sz w:val="21"/>
              </w:rPr>
              <w:t>Real Estate Taxes</w:t>
            </w:r>
          </w:p>
        </w:tc>
        <w:tc>
          <w:tcPr>
            <w:tcW w:w="3360" w:type="dxa"/>
          </w:tcPr>
          <w:p w14:paraId="35A0AC00" w14:textId="77777777" w:rsidR="00B6728C" w:rsidRDefault="00A61170">
            <w:pPr>
              <w:jc w:val="right"/>
              <w:cnfStyle w:val="000000100000" w:firstRow="0" w:lastRow="0" w:firstColumn="0" w:lastColumn="0" w:oddVBand="0" w:evenVBand="0" w:oddHBand="1" w:evenHBand="0" w:firstRowFirstColumn="0" w:firstRowLastColumn="0" w:lastRowFirstColumn="0" w:lastRowLastColumn="0"/>
            </w:pPr>
            <w:r>
              <w:rPr>
                <w:sz w:val="21"/>
              </w:rPr>
              <w:t>$750</w:t>
            </w:r>
          </w:p>
        </w:tc>
        <w:tc>
          <w:tcPr>
            <w:tcW w:w="3360" w:type="dxa"/>
          </w:tcPr>
          <w:p w14:paraId="6FF353D0" w14:textId="77777777" w:rsidR="00B6728C" w:rsidRDefault="00A61170">
            <w:pPr>
              <w:jc w:val="right"/>
              <w:cnfStyle w:val="000000100000" w:firstRow="0" w:lastRow="0" w:firstColumn="0" w:lastColumn="0" w:oddVBand="0" w:evenVBand="0" w:oddHBand="1" w:evenHBand="0" w:firstRowFirstColumn="0" w:firstRowLastColumn="0" w:lastRowFirstColumn="0" w:lastRowLastColumn="0"/>
            </w:pPr>
            <w:r>
              <w:rPr>
                <w:sz w:val="21"/>
              </w:rPr>
              <w:t>$9,000</w:t>
            </w:r>
          </w:p>
        </w:tc>
      </w:tr>
      <w:tr w:rsidR="00B6728C" w14:paraId="04575286"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7F3E82B5" w14:textId="77777777" w:rsidR="00B6728C" w:rsidRDefault="00A61170">
            <w:r>
              <w:rPr>
                <w:sz w:val="21"/>
              </w:rPr>
              <w:t>Insurance</w:t>
            </w:r>
          </w:p>
        </w:tc>
        <w:tc>
          <w:tcPr>
            <w:tcW w:w="3360" w:type="dxa"/>
          </w:tcPr>
          <w:p w14:paraId="1C294B33" w14:textId="77777777" w:rsidR="00B6728C" w:rsidRDefault="00A61170">
            <w:pPr>
              <w:jc w:val="right"/>
              <w:cnfStyle w:val="000000010000" w:firstRow="0" w:lastRow="0" w:firstColumn="0" w:lastColumn="0" w:oddVBand="0" w:evenVBand="0" w:oddHBand="0" w:evenHBand="1" w:firstRowFirstColumn="0" w:firstRowLastColumn="0" w:lastRowFirstColumn="0" w:lastRowLastColumn="0"/>
            </w:pPr>
            <w:r>
              <w:rPr>
                <w:sz w:val="21"/>
              </w:rPr>
              <w:t>$550</w:t>
            </w:r>
          </w:p>
        </w:tc>
        <w:tc>
          <w:tcPr>
            <w:tcW w:w="3360" w:type="dxa"/>
          </w:tcPr>
          <w:p w14:paraId="7736974D" w14:textId="77777777" w:rsidR="00B6728C" w:rsidRDefault="00A61170">
            <w:pPr>
              <w:jc w:val="right"/>
              <w:cnfStyle w:val="000000010000" w:firstRow="0" w:lastRow="0" w:firstColumn="0" w:lastColumn="0" w:oddVBand="0" w:evenVBand="0" w:oddHBand="0" w:evenHBand="1" w:firstRowFirstColumn="0" w:firstRowLastColumn="0" w:lastRowFirstColumn="0" w:lastRowLastColumn="0"/>
            </w:pPr>
            <w:r>
              <w:rPr>
                <w:sz w:val="21"/>
              </w:rPr>
              <w:t>$6,600</w:t>
            </w:r>
          </w:p>
        </w:tc>
      </w:tr>
      <w:tr w:rsidR="00B6728C" w14:paraId="5DAA28F6"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25058160" w14:textId="77777777" w:rsidR="00B6728C" w:rsidRDefault="00A61170">
            <w:r>
              <w:rPr>
                <w:sz w:val="21"/>
              </w:rPr>
              <w:t>Trash &amp; Recycling</w:t>
            </w:r>
          </w:p>
        </w:tc>
        <w:tc>
          <w:tcPr>
            <w:tcW w:w="3360" w:type="dxa"/>
          </w:tcPr>
          <w:p w14:paraId="5F40F72C" w14:textId="77777777" w:rsidR="00B6728C" w:rsidRDefault="00A61170">
            <w:pPr>
              <w:jc w:val="right"/>
              <w:cnfStyle w:val="000000100000" w:firstRow="0" w:lastRow="0" w:firstColumn="0" w:lastColumn="0" w:oddVBand="0" w:evenVBand="0" w:oddHBand="1" w:evenHBand="0" w:firstRowFirstColumn="0" w:firstRowLastColumn="0" w:lastRowFirstColumn="0" w:lastRowLastColumn="0"/>
            </w:pPr>
            <w:r>
              <w:rPr>
                <w:sz w:val="21"/>
              </w:rPr>
              <w:t>$454</w:t>
            </w:r>
          </w:p>
        </w:tc>
        <w:tc>
          <w:tcPr>
            <w:tcW w:w="3360" w:type="dxa"/>
          </w:tcPr>
          <w:p w14:paraId="5A572EC5" w14:textId="77777777" w:rsidR="00B6728C" w:rsidRDefault="00A61170">
            <w:pPr>
              <w:jc w:val="right"/>
              <w:cnfStyle w:val="000000100000" w:firstRow="0" w:lastRow="0" w:firstColumn="0" w:lastColumn="0" w:oddVBand="0" w:evenVBand="0" w:oddHBand="1" w:evenHBand="0" w:firstRowFirstColumn="0" w:firstRowLastColumn="0" w:lastRowFirstColumn="0" w:lastRowLastColumn="0"/>
            </w:pPr>
            <w:r>
              <w:rPr>
                <w:sz w:val="21"/>
              </w:rPr>
              <w:t>$5,450</w:t>
            </w:r>
          </w:p>
        </w:tc>
      </w:tr>
      <w:tr w:rsidR="00B6728C" w14:paraId="69C833E9"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63F246B2" w14:textId="77777777" w:rsidR="00B6728C" w:rsidRDefault="00A61170">
            <w:r>
              <w:rPr>
                <w:sz w:val="21"/>
              </w:rPr>
              <w:t>Utilities (Common Area)</w:t>
            </w:r>
          </w:p>
        </w:tc>
        <w:tc>
          <w:tcPr>
            <w:tcW w:w="3360" w:type="dxa"/>
          </w:tcPr>
          <w:p w14:paraId="608F18FE" w14:textId="77777777" w:rsidR="00B6728C" w:rsidRDefault="00A61170">
            <w:pPr>
              <w:jc w:val="right"/>
              <w:cnfStyle w:val="000000010000" w:firstRow="0" w:lastRow="0" w:firstColumn="0" w:lastColumn="0" w:oddVBand="0" w:evenVBand="0" w:oddHBand="0" w:evenHBand="1" w:firstRowFirstColumn="0" w:firstRowLastColumn="0" w:lastRowFirstColumn="0" w:lastRowLastColumn="0"/>
            </w:pPr>
            <w:r>
              <w:rPr>
                <w:sz w:val="21"/>
              </w:rPr>
              <w:t>$420</w:t>
            </w:r>
          </w:p>
        </w:tc>
        <w:tc>
          <w:tcPr>
            <w:tcW w:w="3360" w:type="dxa"/>
          </w:tcPr>
          <w:p w14:paraId="6CBEAB8D" w14:textId="77777777" w:rsidR="00B6728C" w:rsidRDefault="00A61170">
            <w:pPr>
              <w:jc w:val="right"/>
              <w:cnfStyle w:val="000000010000" w:firstRow="0" w:lastRow="0" w:firstColumn="0" w:lastColumn="0" w:oddVBand="0" w:evenVBand="0" w:oddHBand="0" w:evenHBand="1" w:firstRowFirstColumn="0" w:firstRowLastColumn="0" w:lastRowFirstColumn="0" w:lastRowLastColumn="0"/>
            </w:pPr>
            <w:r>
              <w:rPr>
                <w:sz w:val="21"/>
              </w:rPr>
              <w:t>$5,040</w:t>
            </w:r>
          </w:p>
        </w:tc>
      </w:tr>
      <w:tr w:rsidR="00B6728C" w14:paraId="37F04424"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407C5CDE" w14:textId="77777777" w:rsidR="00B6728C" w:rsidRDefault="00A61170">
            <w:r>
              <w:rPr>
                <w:sz w:val="21"/>
              </w:rPr>
              <w:t>Repairs &amp; Maintenance</w:t>
            </w:r>
          </w:p>
        </w:tc>
        <w:tc>
          <w:tcPr>
            <w:tcW w:w="3360" w:type="dxa"/>
          </w:tcPr>
          <w:p w14:paraId="7E0387B6" w14:textId="77777777" w:rsidR="00B6728C" w:rsidRDefault="00A61170">
            <w:pPr>
              <w:jc w:val="right"/>
              <w:cnfStyle w:val="000000100000" w:firstRow="0" w:lastRow="0" w:firstColumn="0" w:lastColumn="0" w:oddVBand="0" w:evenVBand="0" w:oddHBand="1" w:evenHBand="0" w:firstRowFirstColumn="0" w:firstRowLastColumn="0" w:lastRowFirstColumn="0" w:lastRowLastColumn="0"/>
            </w:pPr>
            <w:r>
              <w:rPr>
                <w:sz w:val="21"/>
              </w:rPr>
              <w:t>$100</w:t>
            </w:r>
          </w:p>
        </w:tc>
        <w:tc>
          <w:tcPr>
            <w:tcW w:w="3360" w:type="dxa"/>
          </w:tcPr>
          <w:p w14:paraId="687A53DD" w14:textId="77777777" w:rsidR="00B6728C" w:rsidRDefault="00A61170">
            <w:pPr>
              <w:jc w:val="right"/>
              <w:cnfStyle w:val="000000100000" w:firstRow="0" w:lastRow="0" w:firstColumn="0" w:lastColumn="0" w:oddVBand="0" w:evenVBand="0" w:oddHBand="1" w:evenHBand="0" w:firstRowFirstColumn="0" w:firstRowLastColumn="0" w:lastRowFirstColumn="0" w:lastRowLastColumn="0"/>
            </w:pPr>
            <w:r>
              <w:rPr>
                <w:sz w:val="21"/>
              </w:rPr>
              <w:t>$1,200</w:t>
            </w:r>
          </w:p>
        </w:tc>
      </w:tr>
      <w:tr w:rsidR="00B6728C" w14:paraId="2643301C"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1772E06A" w14:textId="77777777" w:rsidR="00B6728C" w:rsidRDefault="00A61170">
            <w:r>
              <w:rPr>
                <w:sz w:val="21"/>
              </w:rPr>
              <w:t>Lot Cleaning</w:t>
            </w:r>
          </w:p>
        </w:tc>
        <w:tc>
          <w:tcPr>
            <w:tcW w:w="3360" w:type="dxa"/>
          </w:tcPr>
          <w:p w14:paraId="2D17F2FD" w14:textId="77777777" w:rsidR="00B6728C" w:rsidRDefault="00A61170">
            <w:pPr>
              <w:jc w:val="right"/>
              <w:cnfStyle w:val="000000010000" w:firstRow="0" w:lastRow="0" w:firstColumn="0" w:lastColumn="0" w:oddVBand="0" w:evenVBand="0" w:oddHBand="0" w:evenHBand="1" w:firstRowFirstColumn="0" w:firstRowLastColumn="0" w:lastRowFirstColumn="0" w:lastRowLastColumn="0"/>
            </w:pPr>
            <w:r>
              <w:rPr>
                <w:sz w:val="21"/>
              </w:rPr>
              <w:t>$60</w:t>
            </w:r>
          </w:p>
        </w:tc>
        <w:tc>
          <w:tcPr>
            <w:tcW w:w="3360" w:type="dxa"/>
          </w:tcPr>
          <w:p w14:paraId="0AD19B65" w14:textId="77777777" w:rsidR="00B6728C" w:rsidRDefault="00A61170">
            <w:pPr>
              <w:jc w:val="right"/>
              <w:cnfStyle w:val="000000010000" w:firstRow="0" w:lastRow="0" w:firstColumn="0" w:lastColumn="0" w:oddVBand="0" w:evenVBand="0" w:oddHBand="0" w:evenHBand="1" w:firstRowFirstColumn="0" w:firstRowLastColumn="0" w:lastRowFirstColumn="0" w:lastRowLastColumn="0"/>
            </w:pPr>
            <w:r>
              <w:rPr>
                <w:sz w:val="21"/>
              </w:rPr>
              <w:t>$720</w:t>
            </w:r>
          </w:p>
        </w:tc>
      </w:tr>
      <w:tr w:rsidR="00B6728C" w14:paraId="6BB7A78C"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7A996168" w14:textId="77777777" w:rsidR="00B6728C" w:rsidRDefault="00A61170">
            <w:r>
              <w:rPr>
                <w:sz w:val="21"/>
              </w:rPr>
              <w:t>Landscaping</w:t>
            </w:r>
          </w:p>
        </w:tc>
        <w:tc>
          <w:tcPr>
            <w:tcW w:w="3360" w:type="dxa"/>
          </w:tcPr>
          <w:p w14:paraId="693ADEAC" w14:textId="77777777" w:rsidR="00B6728C" w:rsidRDefault="00A61170">
            <w:pPr>
              <w:jc w:val="right"/>
              <w:cnfStyle w:val="000000100000" w:firstRow="0" w:lastRow="0" w:firstColumn="0" w:lastColumn="0" w:oddVBand="0" w:evenVBand="0" w:oddHBand="1" w:evenHBand="0" w:firstRowFirstColumn="0" w:firstRowLastColumn="0" w:lastRowFirstColumn="0" w:lastRowLastColumn="0"/>
            </w:pPr>
            <w:r>
              <w:rPr>
                <w:sz w:val="21"/>
              </w:rPr>
              <w:t>$60</w:t>
            </w:r>
          </w:p>
        </w:tc>
        <w:tc>
          <w:tcPr>
            <w:tcW w:w="3360" w:type="dxa"/>
          </w:tcPr>
          <w:p w14:paraId="127D4B1F" w14:textId="77777777" w:rsidR="00B6728C" w:rsidRDefault="00A61170">
            <w:pPr>
              <w:jc w:val="right"/>
              <w:cnfStyle w:val="000000100000" w:firstRow="0" w:lastRow="0" w:firstColumn="0" w:lastColumn="0" w:oddVBand="0" w:evenVBand="0" w:oddHBand="1" w:evenHBand="0" w:firstRowFirstColumn="0" w:firstRowLastColumn="0" w:lastRowFirstColumn="0" w:lastRowLastColumn="0"/>
            </w:pPr>
            <w:r>
              <w:rPr>
                <w:sz w:val="21"/>
              </w:rPr>
              <w:t>$720</w:t>
            </w:r>
          </w:p>
        </w:tc>
      </w:tr>
      <w:tr w:rsidR="00B6728C" w14:paraId="623F079E"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shd w:val="clear" w:color="auto" w:fill="DDEBF7"/>
          </w:tcPr>
          <w:p w14:paraId="7FA3840A" w14:textId="77777777" w:rsidR="00B6728C" w:rsidRDefault="00A61170">
            <w:r>
              <w:rPr>
                <w:sz w:val="21"/>
              </w:rPr>
              <w:t>Total Operating Expenses</w:t>
            </w:r>
          </w:p>
        </w:tc>
        <w:tc>
          <w:tcPr>
            <w:tcW w:w="3360" w:type="dxa"/>
            <w:shd w:val="clear" w:color="auto" w:fill="DDEBF7"/>
          </w:tcPr>
          <w:p w14:paraId="3F0D8046" w14:textId="77777777" w:rsidR="00B6728C" w:rsidRDefault="00A61170">
            <w:pPr>
              <w:jc w:val="right"/>
              <w:cnfStyle w:val="000000010000" w:firstRow="0" w:lastRow="0" w:firstColumn="0" w:lastColumn="0" w:oddVBand="0" w:evenVBand="0" w:oddHBand="0" w:evenHBand="1" w:firstRowFirstColumn="0" w:firstRowLastColumn="0" w:lastRowFirstColumn="0" w:lastRowLastColumn="0"/>
            </w:pPr>
            <w:r>
              <w:rPr>
                <w:b/>
                <w:sz w:val="21"/>
              </w:rPr>
              <w:t>$2,394</w:t>
            </w:r>
          </w:p>
        </w:tc>
        <w:tc>
          <w:tcPr>
            <w:tcW w:w="3360" w:type="dxa"/>
            <w:shd w:val="clear" w:color="auto" w:fill="DDEBF7"/>
          </w:tcPr>
          <w:p w14:paraId="03FED506" w14:textId="77777777" w:rsidR="00B6728C" w:rsidRDefault="00A61170">
            <w:pPr>
              <w:jc w:val="right"/>
              <w:cnfStyle w:val="000000010000" w:firstRow="0" w:lastRow="0" w:firstColumn="0" w:lastColumn="0" w:oddVBand="0" w:evenVBand="0" w:oddHBand="0" w:evenHBand="1" w:firstRowFirstColumn="0" w:firstRowLastColumn="0" w:lastRowFirstColumn="0" w:lastRowLastColumn="0"/>
            </w:pPr>
            <w:r>
              <w:rPr>
                <w:b/>
                <w:sz w:val="21"/>
              </w:rPr>
              <w:t>$28,730</w:t>
            </w:r>
          </w:p>
        </w:tc>
      </w:tr>
    </w:tbl>
    <w:p w14:paraId="27141A55" w14:textId="77777777" w:rsidR="00B6728C" w:rsidRDefault="00B6728C"/>
    <w:p w14:paraId="4942F1DD" w14:textId="77777777" w:rsidR="00B6728C" w:rsidRDefault="00A61170">
      <w:pPr>
        <w:spacing w:before="120" w:after="40"/>
      </w:pPr>
      <w:r>
        <w:rPr>
          <w:b/>
          <w:color w:val="404040"/>
          <w:sz w:val="23"/>
        </w:rPr>
        <w:t>Net Operating Income Summary</w:t>
      </w:r>
    </w:p>
    <w:tbl>
      <w:tblPr>
        <w:tblStyle w:val="LightGrid-Accent1"/>
        <w:tblW w:w="0" w:type="auto"/>
        <w:tblLook w:val="04A0" w:firstRow="1" w:lastRow="0" w:firstColumn="1" w:lastColumn="0" w:noHBand="0" w:noVBand="1"/>
      </w:tblPr>
      <w:tblGrid>
        <w:gridCol w:w="5030"/>
        <w:gridCol w:w="5030"/>
      </w:tblGrid>
      <w:tr w:rsidR="00B6728C" w14:paraId="0508995B"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284593F6" w14:textId="77777777" w:rsidR="00B6728C" w:rsidRDefault="00A61170">
            <w:r>
              <w:t>Total Gross Scheduled Income</w:t>
            </w:r>
          </w:p>
        </w:tc>
        <w:tc>
          <w:tcPr>
            <w:tcW w:w="5040" w:type="dxa"/>
          </w:tcPr>
          <w:p w14:paraId="104A14B2" w14:textId="77777777" w:rsidR="00B6728C" w:rsidRDefault="00A61170">
            <w:pPr>
              <w:jc w:val="right"/>
              <w:cnfStyle w:val="100000000000" w:firstRow="1" w:lastRow="0" w:firstColumn="0" w:lastColumn="0" w:oddVBand="0" w:evenVBand="0" w:oddHBand="0" w:evenHBand="0" w:firstRowFirstColumn="0" w:firstRowLastColumn="0" w:lastRowFirstColumn="0" w:lastRowLastColumn="0"/>
            </w:pPr>
            <w:r>
              <w:t>$161,832</w:t>
            </w:r>
          </w:p>
        </w:tc>
      </w:tr>
      <w:tr w:rsidR="00B6728C" w14:paraId="4E53731B"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tcPr>
          <w:p w14:paraId="35EFDD60" w14:textId="77777777" w:rsidR="00B6728C" w:rsidRDefault="00A61170">
            <w:r>
              <w:t>Less: Operating Expenses</w:t>
            </w:r>
          </w:p>
        </w:tc>
        <w:tc>
          <w:tcPr>
            <w:tcW w:w="5040" w:type="dxa"/>
          </w:tcPr>
          <w:p w14:paraId="4E0C70E2" w14:textId="77777777" w:rsidR="00B6728C" w:rsidRDefault="00A61170">
            <w:pPr>
              <w:jc w:val="right"/>
              <w:cnfStyle w:val="000000100000" w:firstRow="0" w:lastRow="0" w:firstColumn="0" w:lastColumn="0" w:oddVBand="0" w:evenVBand="0" w:oddHBand="1" w:evenHBand="0" w:firstRowFirstColumn="0" w:firstRowLastColumn="0" w:lastRowFirstColumn="0" w:lastRowLastColumn="0"/>
            </w:pPr>
            <w:r>
              <w:t>($28,730)</w:t>
            </w:r>
          </w:p>
        </w:tc>
      </w:tr>
      <w:tr w:rsidR="00B6728C" w14:paraId="6A1039AB"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1F4E79"/>
          </w:tcPr>
          <w:p w14:paraId="7273A6F3" w14:textId="77777777" w:rsidR="00B6728C" w:rsidRDefault="00A61170">
            <w:r>
              <w:rPr>
                <w:color w:val="FFFFFF"/>
                <w:sz w:val="26"/>
              </w:rPr>
              <w:t>NET OPERATING INCOME (NOI)</w:t>
            </w:r>
          </w:p>
        </w:tc>
        <w:tc>
          <w:tcPr>
            <w:tcW w:w="5040" w:type="dxa"/>
            <w:shd w:val="clear" w:color="auto" w:fill="1F4E79"/>
          </w:tcPr>
          <w:p w14:paraId="59D8B7CE" w14:textId="77777777" w:rsidR="00B6728C" w:rsidRDefault="00A61170">
            <w:pPr>
              <w:jc w:val="right"/>
              <w:cnfStyle w:val="000000010000" w:firstRow="0" w:lastRow="0" w:firstColumn="0" w:lastColumn="0" w:oddVBand="0" w:evenVBand="0" w:oddHBand="0" w:evenHBand="1" w:firstRowFirstColumn="0" w:firstRowLastColumn="0" w:lastRowFirstColumn="0" w:lastRowLastColumn="0"/>
            </w:pPr>
            <w:r>
              <w:rPr>
                <w:b/>
                <w:color w:val="FFFFFF"/>
                <w:sz w:val="26"/>
              </w:rPr>
              <w:t>$133,102</w:t>
            </w:r>
          </w:p>
        </w:tc>
      </w:tr>
    </w:tbl>
    <w:p w14:paraId="0B813B2D" w14:textId="77777777" w:rsidR="00B6728C" w:rsidRDefault="00B6728C"/>
    <w:p w14:paraId="77C7EFF5" w14:textId="77777777" w:rsidR="00B6728C" w:rsidRDefault="00A61170">
      <w:r>
        <w:rPr>
          <w:i/>
          <w:color w:val="595959"/>
          <w:sz w:val="20"/>
        </w:rPr>
        <w:t>CAM Pass-Through Note: Tenant CAM reimbursements of $28,716 annually recover 99.95% of total operating expenses ($28,730), resulting in a near-pure pass-through expense structure. Base Rent ($133,116) flows almost entirely to NOI.</w:t>
      </w:r>
    </w:p>
    <w:p w14:paraId="4C4D7633" w14:textId="77777777" w:rsidR="00B6728C" w:rsidRDefault="00A61170">
      <w:r>
        <w:br w:type="page"/>
      </w:r>
    </w:p>
    <w:p w14:paraId="52BC6774" w14:textId="77777777" w:rsidR="00B6728C" w:rsidRDefault="00A61170">
      <w:pPr>
        <w:spacing w:after="120"/>
      </w:pPr>
      <w:r>
        <w:rPr>
          <w:b/>
          <w:color w:val="1F4E79"/>
          <w:sz w:val="40"/>
        </w:rPr>
        <w:lastRenderedPageBreak/>
        <w:t>Rent Roll</w:t>
      </w:r>
    </w:p>
    <w:p w14:paraId="20D9C0AF" w14:textId="77777777" w:rsidR="00B6728C" w:rsidRDefault="00A61170">
      <w:r>
        <w:rPr>
          <w:i/>
          <w:color w:val="595959"/>
        </w:rPr>
        <w:t>As of January 1, 2026</w:t>
      </w:r>
    </w:p>
    <w:p w14:paraId="5CC1B07F" w14:textId="77777777" w:rsidR="00B6728C" w:rsidRDefault="00B6728C"/>
    <w:tbl>
      <w:tblPr>
        <w:tblStyle w:val="LightGrid-Accent1"/>
        <w:tblW w:w="0" w:type="auto"/>
        <w:tblLook w:val="04A0" w:firstRow="1" w:lastRow="0" w:firstColumn="1" w:lastColumn="0" w:noHBand="0" w:noVBand="1"/>
      </w:tblPr>
      <w:tblGrid>
        <w:gridCol w:w="1256"/>
        <w:gridCol w:w="1259"/>
        <w:gridCol w:w="1257"/>
        <w:gridCol w:w="1257"/>
        <w:gridCol w:w="1258"/>
        <w:gridCol w:w="1258"/>
        <w:gridCol w:w="1258"/>
        <w:gridCol w:w="1257"/>
      </w:tblGrid>
      <w:tr w:rsidR="00B6728C" w14:paraId="074309A3"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shd w:val="clear" w:color="auto" w:fill="1F4E79"/>
          </w:tcPr>
          <w:p w14:paraId="0D9CD773" w14:textId="77777777" w:rsidR="00B6728C" w:rsidRDefault="00A61170">
            <w:pPr>
              <w:jc w:val="center"/>
            </w:pPr>
            <w:r>
              <w:rPr>
                <w:color w:val="FFFFFF"/>
                <w:sz w:val="18"/>
              </w:rPr>
              <w:t>Unit</w:t>
            </w:r>
          </w:p>
        </w:tc>
        <w:tc>
          <w:tcPr>
            <w:tcW w:w="1260" w:type="dxa"/>
            <w:shd w:val="clear" w:color="auto" w:fill="1F4E79"/>
          </w:tcPr>
          <w:p w14:paraId="55020C0D"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8"/>
              </w:rPr>
              <w:t>Tenant</w:t>
            </w:r>
          </w:p>
        </w:tc>
        <w:tc>
          <w:tcPr>
            <w:tcW w:w="1260" w:type="dxa"/>
            <w:shd w:val="clear" w:color="auto" w:fill="1F4E79"/>
          </w:tcPr>
          <w:p w14:paraId="4A952E2E"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8"/>
              </w:rPr>
              <w:t>SF</w:t>
            </w:r>
          </w:p>
        </w:tc>
        <w:tc>
          <w:tcPr>
            <w:tcW w:w="1260" w:type="dxa"/>
            <w:shd w:val="clear" w:color="auto" w:fill="1F4E79"/>
          </w:tcPr>
          <w:p w14:paraId="58198449"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8"/>
              </w:rPr>
              <w:t>% GLA</w:t>
            </w:r>
          </w:p>
        </w:tc>
        <w:tc>
          <w:tcPr>
            <w:tcW w:w="1260" w:type="dxa"/>
            <w:shd w:val="clear" w:color="auto" w:fill="1F4E79"/>
          </w:tcPr>
          <w:p w14:paraId="65F4BBBC"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8"/>
              </w:rPr>
              <w:t>Base Rent / Mo</w:t>
            </w:r>
          </w:p>
        </w:tc>
        <w:tc>
          <w:tcPr>
            <w:tcW w:w="1260" w:type="dxa"/>
            <w:shd w:val="clear" w:color="auto" w:fill="1F4E79"/>
          </w:tcPr>
          <w:p w14:paraId="78D3059E"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8"/>
              </w:rPr>
              <w:t>CAM / Mo</w:t>
            </w:r>
          </w:p>
        </w:tc>
        <w:tc>
          <w:tcPr>
            <w:tcW w:w="1260" w:type="dxa"/>
            <w:shd w:val="clear" w:color="auto" w:fill="1F4E79"/>
          </w:tcPr>
          <w:p w14:paraId="528B74EF"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8"/>
              </w:rPr>
              <w:t>Total Rent / Mo</w:t>
            </w:r>
          </w:p>
        </w:tc>
        <w:tc>
          <w:tcPr>
            <w:tcW w:w="1260" w:type="dxa"/>
            <w:shd w:val="clear" w:color="auto" w:fill="1F4E79"/>
          </w:tcPr>
          <w:p w14:paraId="4B11DC73"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8"/>
              </w:rPr>
              <w:t>Lease End</w:t>
            </w:r>
          </w:p>
        </w:tc>
      </w:tr>
      <w:tr w:rsidR="00B6728C" w14:paraId="0336146F"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31D56E3C" w14:textId="77777777" w:rsidR="00B6728C" w:rsidRDefault="00A61170">
            <w:pPr>
              <w:jc w:val="center"/>
            </w:pPr>
            <w:r>
              <w:rPr>
                <w:sz w:val="19"/>
              </w:rPr>
              <w:t>A/B</w:t>
            </w:r>
          </w:p>
        </w:tc>
        <w:tc>
          <w:tcPr>
            <w:tcW w:w="1260" w:type="dxa"/>
          </w:tcPr>
          <w:p w14:paraId="63F2BA3A"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AZN</w:t>
            </w:r>
          </w:p>
        </w:tc>
        <w:tc>
          <w:tcPr>
            <w:tcW w:w="1260" w:type="dxa"/>
          </w:tcPr>
          <w:p w14:paraId="71DF3961"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2,900</w:t>
            </w:r>
          </w:p>
        </w:tc>
        <w:tc>
          <w:tcPr>
            <w:tcW w:w="1260" w:type="dxa"/>
          </w:tcPr>
          <w:p w14:paraId="1BA9372D"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50.9%</w:t>
            </w:r>
          </w:p>
        </w:tc>
        <w:tc>
          <w:tcPr>
            <w:tcW w:w="1260" w:type="dxa"/>
          </w:tcPr>
          <w:p w14:paraId="45B6736B"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$6,600</w:t>
            </w:r>
          </w:p>
        </w:tc>
        <w:tc>
          <w:tcPr>
            <w:tcW w:w="1260" w:type="dxa"/>
          </w:tcPr>
          <w:p w14:paraId="0376A0F3"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$1,218</w:t>
            </w:r>
          </w:p>
        </w:tc>
        <w:tc>
          <w:tcPr>
            <w:tcW w:w="1260" w:type="dxa"/>
          </w:tcPr>
          <w:p w14:paraId="79092BEB"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$7,818</w:t>
            </w:r>
          </w:p>
        </w:tc>
        <w:tc>
          <w:tcPr>
            <w:tcW w:w="1260" w:type="dxa"/>
          </w:tcPr>
          <w:p w14:paraId="6FE6C590"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2029</w:t>
            </w:r>
          </w:p>
        </w:tc>
      </w:tr>
      <w:tr w:rsidR="00B6728C" w14:paraId="5296DF5B"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4CBAA830" w14:textId="77777777" w:rsidR="00B6728C" w:rsidRDefault="00A61170">
            <w:pPr>
              <w:jc w:val="center"/>
            </w:pPr>
            <w:r>
              <w:rPr>
                <w:sz w:val="19"/>
              </w:rPr>
              <w:t>C</w:t>
            </w:r>
          </w:p>
        </w:tc>
        <w:tc>
          <w:tcPr>
            <w:tcW w:w="1260" w:type="dxa"/>
          </w:tcPr>
          <w:p w14:paraId="2FD30651"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19"/>
              </w:rPr>
              <w:t>Judy's Nails (Salon)</w:t>
            </w:r>
          </w:p>
        </w:tc>
        <w:tc>
          <w:tcPr>
            <w:tcW w:w="1260" w:type="dxa"/>
          </w:tcPr>
          <w:p w14:paraId="4DA629D7"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19"/>
              </w:rPr>
              <w:t>1,325</w:t>
            </w:r>
          </w:p>
        </w:tc>
        <w:tc>
          <w:tcPr>
            <w:tcW w:w="1260" w:type="dxa"/>
          </w:tcPr>
          <w:p w14:paraId="7AA003D4"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19"/>
              </w:rPr>
              <w:t>23.2%</w:t>
            </w:r>
          </w:p>
        </w:tc>
        <w:tc>
          <w:tcPr>
            <w:tcW w:w="1260" w:type="dxa"/>
          </w:tcPr>
          <w:p w14:paraId="67BFDD57"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19"/>
              </w:rPr>
              <w:t>$1,912</w:t>
            </w:r>
          </w:p>
        </w:tc>
        <w:tc>
          <w:tcPr>
            <w:tcW w:w="1260" w:type="dxa"/>
          </w:tcPr>
          <w:p w14:paraId="469B403A"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19"/>
              </w:rPr>
              <w:t>$556</w:t>
            </w:r>
          </w:p>
        </w:tc>
        <w:tc>
          <w:tcPr>
            <w:tcW w:w="1260" w:type="dxa"/>
          </w:tcPr>
          <w:p w14:paraId="4CFBC0F2"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19"/>
              </w:rPr>
              <w:t>$2,468</w:t>
            </w:r>
          </w:p>
        </w:tc>
        <w:tc>
          <w:tcPr>
            <w:tcW w:w="1260" w:type="dxa"/>
          </w:tcPr>
          <w:p w14:paraId="7125CF84"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19"/>
              </w:rPr>
              <w:t>2027</w:t>
            </w:r>
          </w:p>
        </w:tc>
      </w:tr>
      <w:tr w:rsidR="00B6728C" w14:paraId="46FED71F"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01038F30" w14:textId="77777777" w:rsidR="00B6728C" w:rsidRDefault="00A61170">
            <w:pPr>
              <w:jc w:val="center"/>
            </w:pPr>
            <w:r>
              <w:rPr>
                <w:sz w:val="19"/>
              </w:rPr>
              <w:t>D</w:t>
            </w:r>
          </w:p>
        </w:tc>
        <w:tc>
          <w:tcPr>
            <w:tcW w:w="1260" w:type="dxa"/>
          </w:tcPr>
          <w:p w14:paraId="0098D1D9"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Tobacco / Vape Retail</w:t>
            </w:r>
          </w:p>
        </w:tc>
        <w:tc>
          <w:tcPr>
            <w:tcW w:w="1260" w:type="dxa"/>
          </w:tcPr>
          <w:p w14:paraId="01B72829"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1,475</w:t>
            </w:r>
          </w:p>
        </w:tc>
        <w:tc>
          <w:tcPr>
            <w:tcW w:w="1260" w:type="dxa"/>
          </w:tcPr>
          <w:p w14:paraId="6A8C5FF4"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25.9%</w:t>
            </w:r>
          </w:p>
        </w:tc>
        <w:tc>
          <w:tcPr>
            <w:tcW w:w="1260" w:type="dxa"/>
          </w:tcPr>
          <w:p w14:paraId="264A07E7"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$2,581</w:t>
            </w:r>
          </w:p>
        </w:tc>
        <w:tc>
          <w:tcPr>
            <w:tcW w:w="1260" w:type="dxa"/>
          </w:tcPr>
          <w:p w14:paraId="011DF7BF"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$619</w:t>
            </w:r>
          </w:p>
        </w:tc>
        <w:tc>
          <w:tcPr>
            <w:tcW w:w="1260" w:type="dxa"/>
          </w:tcPr>
          <w:p w14:paraId="75B61128"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$3,200</w:t>
            </w:r>
          </w:p>
        </w:tc>
        <w:tc>
          <w:tcPr>
            <w:tcW w:w="1260" w:type="dxa"/>
          </w:tcPr>
          <w:p w14:paraId="64BD2344"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19"/>
              </w:rPr>
              <w:t>2028</w:t>
            </w:r>
          </w:p>
        </w:tc>
      </w:tr>
      <w:tr w:rsidR="00B6728C" w14:paraId="421A119E"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shd w:val="clear" w:color="auto" w:fill="EAF2F8"/>
          </w:tcPr>
          <w:p w14:paraId="398F9DEC" w14:textId="77777777" w:rsidR="00B6728C" w:rsidRDefault="00B6728C">
            <w:pPr>
              <w:jc w:val="center"/>
            </w:pPr>
          </w:p>
        </w:tc>
        <w:tc>
          <w:tcPr>
            <w:tcW w:w="1260" w:type="dxa"/>
            <w:shd w:val="clear" w:color="auto" w:fill="EAF2F8"/>
          </w:tcPr>
          <w:p w14:paraId="55AA4285"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b/>
                <w:sz w:val="19"/>
              </w:rPr>
              <w:t>TOTAL</w:t>
            </w:r>
          </w:p>
        </w:tc>
        <w:tc>
          <w:tcPr>
            <w:tcW w:w="1260" w:type="dxa"/>
            <w:shd w:val="clear" w:color="auto" w:fill="EAF2F8"/>
          </w:tcPr>
          <w:p w14:paraId="7FC6D5B5"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b/>
                <w:sz w:val="19"/>
              </w:rPr>
              <w:t>5,700</w:t>
            </w:r>
          </w:p>
        </w:tc>
        <w:tc>
          <w:tcPr>
            <w:tcW w:w="1260" w:type="dxa"/>
            <w:shd w:val="clear" w:color="auto" w:fill="EAF2F8"/>
          </w:tcPr>
          <w:p w14:paraId="0A018874"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b/>
                <w:sz w:val="19"/>
              </w:rPr>
              <w:t>100%</w:t>
            </w:r>
          </w:p>
        </w:tc>
        <w:tc>
          <w:tcPr>
            <w:tcW w:w="1260" w:type="dxa"/>
            <w:shd w:val="clear" w:color="auto" w:fill="EAF2F8"/>
          </w:tcPr>
          <w:p w14:paraId="77DC7BD1"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b/>
                <w:sz w:val="19"/>
              </w:rPr>
              <w:t>$11,093</w:t>
            </w:r>
          </w:p>
        </w:tc>
        <w:tc>
          <w:tcPr>
            <w:tcW w:w="1260" w:type="dxa"/>
            <w:shd w:val="clear" w:color="auto" w:fill="EAF2F8"/>
          </w:tcPr>
          <w:p w14:paraId="6086EB2C"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b/>
                <w:sz w:val="19"/>
              </w:rPr>
              <w:t>$2,393</w:t>
            </w:r>
          </w:p>
        </w:tc>
        <w:tc>
          <w:tcPr>
            <w:tcW w:w="1260" w:type="dxa"/>
            <w:shd w:val="clear" w:color="auto" w:fill="EAF2F8"/>
          </w:tcPr>
          <w:p w14:paraId="32F8E6B4"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b/>
                <w:sz w:val="19"/>
              </w:rPr>
              <w:t>$13,486</w:t>
            </w:r>
          </w:p>
        </w:tc>
        <w:tc>
          <w:tcPr>
            <w:tcW w:w="1260" w:type="dxa"/>
            <w:shd w:val="clear" w:color="auto" w:fill="EAF2F8"/>
          </w:tcPr>
          <w:p w14:paraId="11B75A90"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b/>
                <w:sz w:val="19"/>
              </w:rPr>
              <w:t>—</w:t>
            </w:r>
          </w:p>
        </w:tc>
      </w:tr>
      <w:tr w:rsidR="00B6728C" w14:paraId="7467FBA4"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shd w:val="clear" w:color="auto" w:fill="EAF2F8"/>
          </w:tcPr>
          <w:p w14:paraId="7D22A2ED" w14:textId="77777777" w:rsidR="00B6728C" w:rsidRDefault="00B6728C">
            <w:pPr>
              <w:jc w:val="center"/>
            </w:pPr>
          </w:p>
        </w:tc>
        <w:tc>
          <w:tcPr>
            <w:tcW w:w="1260" w:type="dxa"/>
            <w:shd w:val="clear" w:color="auto" w:fill="EAF2F8"/>
          </w:tcPr>
          <w:p w14:paraId="34D157B5"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b/>
                <w:sz w:val="19"/>
              </w:rPr>
              <w:t>Annualized</w:t>
            </w:r>
          </w:p>
        </w:tc>
        <w:tc>
          <w:tcPr>
            <w:tcW w:w="1260" w:type="dxa"/>
            <w:shd w:val="clear" w:color="auto" w:fill="EAF2F8"/>
          </w:tcPr>
          <w:p w14:paraId="5E1E8D19" w14:textId="77777777" w:rsidR="00B6728C" w:rsidRDefault="00B6728C">
            <w:pPr>
              <w:jc w:val="center"/>
              <w:cnfStyle w:val="000000100000" w:firstRow="0" w:lastRow="0" w:firstColumn="0" w:lastColumn="0" w:oddVBand="0" w:evenVBand="0" w:oddHBand="1" w:evenHBand="0" w:firstRowFirstColumn="0" w:firstRowLastColumn="0" w:lastRowFirstColumn="0" w:lastRowLastColumn="0"/>
            </w:pPr>
          </w:p>
        </w:tc>
        <w:tc>
          <w:tcPr>
            <w:tcW w:w="1260" w:type="dxa"/>
            <w:shd w:val="clear" w:color="auto" w:fill="EAF2F8"/>
          </w:tcPr>
          <w:p w14:paraId="5517E9D2" w14:textId="77777777" w:rsidR="00B6728C" w:rsidRDefault="00B6728C">
            <w:pPr>
              <w:jc w:val="center"/>
              <w:cnfStyle w:val="000000100000" w:firstRow="0" w:lastRow="0" w:firstColumn="0" w:lastColumn="0" w:oddVBand="0" w:evenVBand="0" w:oddHBand="1" w:evenHBand="0" w:firstRowFirstColumn="0" w:firstRowLastColumn="0" w:lastRowFirstColumn="0" w:lastRowLastColumn="0"/>
            </w:pPr>
          </w:p>
        </w:tc>
        <w:tc>
          <w:tcPr>
            <w:tcW w:w="1260" w:type="dxa"/>
            <w:shd w:val="clear" w:color="auto" w:fill="EAF2F8"/>
          </w:tcPr>
          <w:p w14:paraId="11721328"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b/>
                <w:sz w:val="19"/>
              </w:rPr>
              <w:t>$133,116</w:t>
            </w:r>
          </w:p>
        </w:tc>
        <w:tc>
          <w:tcPr>
            <w:tcW w:w="1260" w:type="dxa"/>
            <w:shd w:val="clear" w:color="auto" w:fill="EAF2F8"/>
          </w:tcPr>
          <w:p w14:paraId="60558E4A"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b/>
                <w:sz w:val="19"/>
              </w:rPr>
              <w:t>$28,716</w:t>
            </w:r>
          </w:p>
        </w:tc>
        <w:tc>
          <w:tcPr>
            <w:tcW w:w="1260" w:type="dxa"/>
            <w:shd w:val="clear" w:color="auto" w:fill="EAF2F8"/>
          </w:tcPr>
          <w:p w14:paraId="4D40A5E4"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b/>
                <w:sz w:val="19"/>
              </w:rPr>
              <w:t>$161,832</w:t>
            </w:r>
          </w:p>
        </w:tc>
        <w:tc>
          <w:tcPr>
            <w:tcW w:w="1260" w:type="dxa"/>
            <w:shd w:val="clear" w:color="auto" w:fill="EAF2F8"/>
          </w:tcPr>
          <w:p w14:paraId="44290314" w14:textId="77777777" w:rsidR="00B6728C" w:rsidRDefault="00B6728C">
            <w:pPr>
              <w:jc w:val="center"/>
              <w:cnfStyle w:val="000000100000" w:firstRow="0" w:lastRow="0" w:firstColumn="0" w:lastColumn="0" w:oddVBand="0" w:evenVBand="0" w:oddHBand="1" w:evenHBand="0" w:firstRowFirstColumn="0" w:firstRowLastColumn="0" w:lastRowFirstColumn="0" w:lastRowLastColumn="0"/>
            </w:pPr>
          </w:p>
        </w:tc>
      </w:tr>
    </w:tbl>
    <w:p w14:paraId="542DB990" w14:textId="77777777" w:rsidR="00B6728C" w:rsidRDefault="00B6728C"/>
    <w:p w14:paraId="7934B43B" w14:textId="77777777" w:rsidR="00B6728C" w:rsidRDefault="00A61170">
      <w:pPr>
        <w:spacing w:before="240" w:after="80"/>
      </w:pPr>
      <w:r>
        <w:rPr>
          <w:b/>
          <w:color w:val="2E75B6"/>
          <w:sz w:val="28"/>
        </w:rPr>
        <w:t>Lease Expiration Schedule</w:t>
      </w:r>
    </w:p>
    <w:p w14:paraId="75F3435A" w14:textId="77777777" w:rsidR="00B6728C" w:rsidRDefault="00A61170">
      <w:r>
        <w:rPr>
          <w:color w:val="595959"/>
        </w:rPr>
        <w:t>Staggered expirations limit single-year tenancy risk and provide natural mark-to-market reset opportunities for the new owner.</w:t>
      </w:r>
    </w:p>
    <w:p w14:paraId="106BC0B8" w14:textId="77777777" w:rsidR="00B6728C" w:rsidRDefault="00B6728C"/>
    <w:tbl>
      <w:tblPr>
        <w:tblStyle w:val="LightGrid-Accent1"/>
        <w:tblW w:w="0" w:type="auto"/>
        <w:tblLook w:val="04A0" w:firstRow="1" w:lastRow="0" w:firstColumn="1" w:lastColumn="0" w:noHBand="0" w:noVBand="1"/>
      </w:tblPr>
      <w:tblGrid>
        <w:gridCol w:w="2515"/>
        <w:gridCol w:w="2515"/>
        <w:gridCol w:w="2515"/>
        <w:gridCol w:w="2515"/>
      </w:tblGrid>
      <w:tr w:rsidR="00B6728C" w14:paraId="4D7DF841"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shd w:val="clear" w:color="auto" w:fill="1F4E79"/>
          </w:tcPr>
          <w:p w14:paraId="10CD1169" w14:textId="77777777" w:rsidR="00B6728C" w:rsidRDefault="00A61170">
            <w:pPr>
              <w:jc w:val="center"/>
            </w:pPr>
            <w:r>
              <w:rPr>
                <w:color w:val="FFFFFF"/>
                <w:sz w:val="20"/>
              </w:rPr>
              <w:t>Lease Year</w:t>
            </w:r>
          </w:p>
        </w:tc>
        <w:tc>
          <w:tcPr>
            <w:tcW w:w="2520" w:type="dxa"/>
            <w:shd w:val="clear" w:color="auto" w:fill="1F4E79"/>
          </w:tcPr>
          <w:p w14:paraId="2621B653"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20"/>
              </w:rPr>
              <w:t>Tenant</w:t>
            </w:r>
          </w:p>
        </w:tc>
        <w:tc>
          <w:tcPr>
            <w:tcW w:w="2520" w:type="dxa"/>
            <w:shd w:val="clear" w:color="auto" w:fill="1F4E79"/>
          </w:tcPr>
          <w:p w14:paraId="765C4512"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20"/>
              </w:rPr>
              <w:t>SF Expiring</w:t>
            </w:r>
          </w:p>
        </w:tc>
        <w:tc>
          <w:tcPr>
            <w:tcW w:w="2520" w:type="dxa"/>
            <w:shd w:val="clear" w:color="auto" w:fill="1F4E79"/>
          </w:tcPr>
          <w:p w14:paraId="4CD2C936"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20"/>
              </w:rPr>
              <w:t>% of Total Base Rent</w:t>
            </w:r>
          </w:p>
        </w:tc>
      </w:tr>
      <w:tr w:rsidR="00B6728C" w14:paraId="0C59BAF8"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Pr>
          <w:p w14:paraId="74A9B512" w14:textId="77777777" w:rsidR="00B6728C" w:rsidRDefault="00A61170">
            <w:pPr>
              <w:jc w:val="center"/>
            </w:pPr>
            <w:r>
              <w:rPr>
                <w:sz w:val="20"/>
              </w:rPr>
              <w:t>2027</w:t>
            </w:r>
          </w:p>
        </w:tc>
        <w:tc>
          <w:tcPr>
            <w:tcW w:w="2520" w:type="dxa"/>
          </w:tcPr>
          <w:p w14:paraId="2D945D1D"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Judy's Nails (Unit C)</w:t>
            </w:r>
          </w:p>
        </w:tc>
        <w:tc>
          <w:tcPr>
            <w:tcW w:w="2520" w:type="dxa"/>
          </w:tcPr>
          <w:p w14:paraId="2FC4F8D4"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1,325 SF (23.2%)</w:t>
            </w:r>
          </w:p>
        </w:tc>
        <w:tc>
          <w:tcPr>
            <w:tcW w:w="2520" w:type="dxa"/>
          </w:tcPr>
          <w:p w14:paraId="328AA7F2"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17.2%</w:t>
            </w:r>
          </w:p>
        </w:tc>
      </w:tr>
      <w:tr w:rsidR="00B6728C" w14:paraId="269674E6"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Pr>
          <w:p w14:paraId="69667D94" w14:textId="77777777" w:rsidR="00B6728C" w:rsidRDefault="00A61170">
            <w:pPr>
              <w:jc w:val="center"/>
            </w:pPr>
            <w:r>
              <w:rPr>
                <w:sz w:val="20"/>
              </w:rPr>
              <w:t>2028</w:t>
            </w:r>
          </w:p>
        </w:tc>
        <w:tc>
          <w:tcPr>
            <w:tcW w:w="2520" w:type="dxa"/>
          </w:tcPr>
          <w:p w14:paraId="1BEC8D88"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0"/>
              </w:rPr>
              <w:t>Vape Retail (Unit D)</w:t>
            </w:r>
          </w:p>
        </w:tc>
        <w:tc>
          <w:tcPr>
            <w:tcW w:w="2520" w:type="dxa"/>
          </w:tcPr>
          <w:p w14:paraId="5CFE4A0F"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0"/>
              </w:rPr>
              <w:t>1,475 SF (25.9%)</w:t>
            </w:r>
          </w:p>
        </w:tc>
        <w:tc>
          <w:tcPr>
            <w:tcW w:w="2520" w:type="dxa"/>
          </w:tcPr>
          <w:p w14:paraId="226C0F5F"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0"/>
              </w:rPr>
              <w:t>23.3%</w:t>
            </w:r>
          </w:p>
        </w:tc>
      </w:tr>
      <w:tr w:rsidR="00B6728C" w14:paraId="23B5DBDE"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Pr>
          <w:p w14:paraId="750F56AC" w14:textId="77777777" w:rsidR="00B6728C" w:rsidRDefault="00A61170">
            <w:pPr>
              <w:jc w:val="center"/>
            </w:pPr>
            <w:r>
              <w:rPr>
                <w:sz w:val="20"/>
              </w:rPr>
              <w:t>2029</w:t>
            </w:r>
          </w:p>
        </w:tc>
        <w:tc>
          <w:tcPr>
            <w:tcW w:w="2520" w:type="dxa"/>
          </w:tcPr>
          <w:p w14:paraId="687CEA62"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AZN (Unit A/B)</w:t>
            </w:r>
          </w:p>
        </w:tc>
        <w:tc>
          <w:tcPr>
            <w:tcW w:w="2520" w:type="dxa"/>
          </w:tcPr>
          <w:p w14:paraId="1B38B301"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2,900 SF (50.9%)</w:t>
            </w:r>
          </w:p>
        </w:tc>
        <w:tc>
          <w:tcPr>
            <w:tcW w:w="2520" w:type="dxa"/>
          </w:tcPr>
          <w:p w14:paraId="6937FB70"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59.5%</w:t>
            </w:r>
          </w:p>
        </w:tc>
      </w:tr>
    </w:tbl>
    <w:p w14:paraId="12C0A7DF" w14:textId="77777777" w:rsidR="00B6728C" w:rsidRDefault="00A61170">
      <w:r>
        <w:br w:type="page"/>
      </w:r>
    </w:p>
    <w:p w14:paraId="03F4CFC9" w14:textId="77777777" w:rsidR="00B6728C" w:rsidRDefault="00A61170">
      <w:pPr>
        <w:spacing w:after="120"/>
      </w:pPr>
      <w:r>
        <w:rPr>
          <w:b/>
          <w:color w:val="1F4E79"/>
          <w:sz w:val="40"/>
        </w:rPr>
        <w:lastRenderedPageBreak/>
        <w:t>Tenant Profiles</w:t>
      </w:r>
    </w:p>
    <w:p w14:paraId="61D40738" w14:textId="77777777" w:rsidR="00B6728C" w:rsidRDefault="00A61170">
      <w:pPr>
        <w:spacing w:before="240" w:after="80"/>
      </w:pPr>
      <w:r>
        <w:rPr>
          <w:b/>
          <w:color w:val="2E75B6"/>
          <w:sz w:val="28"/>
        </w:rPr>
        <w:t>Unit A/B — AZN (Fast-Casual Food Service)</w:t>
      </w:r>
    </w:p>
    <w:p w14:paraId="1E25C7D6" w14:textId="77777777" w:rsidR="00B6728C" w:rsidRDefault="00A61170">
      <w:r>
        <w:t>Lease Term: Through 2029 · 2,900 SF · 50.9% of GLA · $6,600 base monthly rent</w:t>
      </w:r>
    </w:p>
    <w:p w14:paraId="2A702413" w14:textId="77777777" w:rsidR="00B6728C" w:rsidRDefault="00B6728C"/>
    <w:p w14:paraId="2B24C3BF" w14:textId="77777777" w:rsidR="00B6728C" w:rsidRDefault="00A61170">
      <w:r>
        <w:t>AZN operates a fast-casual food service concept (sandwiches, bowls, and a juice bar) at Units A/B, the property's anchor space at 2,900 SF. The tenant has been continuously occupying the space and is current on all rent obligations. The lease runs through 2029, providing the new owner with stable, long-term income from the largest unit in the center.</w:t>
      </w:r>
    </w:p>
    <w:p w14:paraId="3C763DDE" w14:textId="77777777" w:rsidR="00B6728C" w:rsidRDefault="00B6728C"/>
    <w:p w14:paraId="1F30526E" w14:textId="77777777" w:rsidR="00B6728C" w:rsidRDefault="00A61170">
      <w:pPr>
        <w:spacing w:before="240" w:after="80"/>
      </w:pPr>
      <w:r>
        <w:rPr>
          <w:b/>
          <w:color w:val="2E75B6"/>
          <w:sz w:val="28"/>
        </w:rPr>
        <w:t>Unit C — Judy's Nails (Salon)</w:t>
      </w:r>
    </w:p>
    <w:p w14:paraId="1BD70534" w14:textId="77777777" w:rsidR="00B6728C" w:rsidRDefault="00A61170">
      <w:r>
        <w:t>Lease Term: Through 2027 · 1,325 SF · 23.2% of GLA · $1,912 base monthly rent</w:t>
      </w:r>
    </w:p>
    <w:p w14:paraId="22EF5B0F" w14:textId="77777777" w:rsidR="00B6728C" w:rsidRDefault="00B6728C"/>
    <w:p w14:paraId="538506A5" w14:textId="77777777" w:rsidR="00B6728C" w:rsidRDefault="00A61170">
      <w:r>
        <w:t>Established nail salon operator in the personal services category. Lease expires in 2027 with a renewal option that activates by November 1, 2026. Nail salons in suburban retail strip centers typically demonstrate 5–7 year average tenant tenure, supporting renewal probability. Current rent is at-market for the Fayette County retail submarket.</w:t>
      </w:r>
    </w:p>
    <w:p w14:paraId="315CCAA0" w14:textId="77777777" w:rsidR="00B6728C" w:rsidRDefault="00B6728C"/>
    <w:p w14:paraId="4FD61811" w14:textId="77777777" w:rsidR="00B6728C" w:rsidRDefault="00A61170">
      <w:pPr>
        <w:spacing w:before="240" w:after="80"/>
      </w:pPr>
      <w:r>
        <w:rPr>
          <w:b/>
          <w:color w:val="2E75B6"/>
          <w:sz w:val="28"/>
        </w:rPr>
        <w:t>Unit D — Tobacco / Vape Retail</w:t>
      </w:r>
    </w:p>
    <w:p w14:paraId="63662A00" w14:textId="77777777" w:rsidR="00B6728C" w:rsidRDefault="00A61170">
      <w:r>
        <w:t>Lease Term: Through 2028 · 1,475 SF · 25.9% of GLA · $2,581 base monthly rent</w:t>
      </w:r>
    </w:p>
    <w:p w14:paraId="61663C6E" w14:textId="77777777" w:rsidR="00B6728C" w:rsidRDefault="00B6728C"/>
    <w:p w14:paraId="2A294086" w14:textId="77777777" w:rsidR="00B6728C" w:rsidRDefault="00A61170">
      <w:r>
        <w:t>Tobacco and vape retail operator. Lease expires in 2028 with a renewal option activating by June 1, 2026. This unit carries the highest base rent per square foot among the three tenants ($21.00 PSF base + $5.04 PSF CAM = $26.04 PSF gross). Category note: vape retail is subject to evolving FDA and state regulatory frameworks; investors should evaluate sector resilience in their underwriting.</w:t>
      </w:r>
    </w:p>
    <w:p w14:paraId="0B9D1220" w14:textId="77777777" w:rsidR="00B6728C" w:rsidRDefault="00B6728C"/>
    <w:p w14:paraId="23CD0701" w14:textId="77777777" w:rsidR="00B6728C" w:rsidRDefault="00A61170">
      <w:r>
        <w:br w:type="page"/>
      </w:r>
    </w:p>
    <w:p w14:paraId="0B927FBE" w14:textId="77777777" w:rsidR="00B6728C" w:rsidRDefault="00A61170">
      <w:pPr>
        <w:spacing w:after="120"/>
      </w:pPr>
      <w:r>
        <w:rPr>
          <w:b/>
          <w:color w:val="1F4E79"/>
          <w:sz w:val="40"/>
        </w:rPr>
        <w:lastRenderedPageBreak/>
        <w:t>Location &amp; Market</w:t>
      </w:r>
    </w:p>
    <w:p w14:paraId="0E3B4F5A" w14:textId="77777777" w:rsidR="00B6728C" w:rsidRDefault="00A61170">
      <w:pPr>
        <w:spacing w:before="240" w:after="80"/>
      </w:pPr>
      <w:r>
        <w:rPr>
          <w:b/>
          <w:color w:val="2E75B6"/>
          <w:sz w:val="28"/>
        </w:rPr>
        <w:t>Submarket: Fayetteville / Fayette County</w:t>
      </w:r>
    </w:p>
    <w:p w14:paraId="145FF36F" w14:textId="77777777" w:rsidR="00B6728C" w:rsidRDefault="00A61170">
      <w:r>
        <w:t>Fayetteville is the county seat of Fayette County, Georgia, and sits within the broader Atlanta-Sandy Springs-Alpharetta Metropolitan Statistical Area — the ninth-largest MSA in the United States. Fayette County is consistently ranked among the highest-income counties in Georgia, with median household income exceeding $100,000 — well above state and national averages — and a population of approximately 120,000 residents.</w:t>
      </w:r>
    </w:p>
    <w:p w14:paraId="400AA498" w14:textId="77777777" w:rsidR="00B6728C" w:rsidRDefault="00B6728C"/>
    <w:p w14:paraId="735928B1" w14:textId="77777777" w:rsidR="00B6728C" w:rsidRDefault="00A61170">
      <w:r>
        <w:t>The county's demographics support durable retail demand: educated workforce, high homeownership rates, and a stable suburban professional population. Major employers include Fayette County School System, Piedmont Fayette Hospital, and multiple corporate satellite offices serving the broader Atlanta region.</w:t>
      </w:r>
    </w:p>
    <w:p w14:paraId="3E7B0776" w14:textId="77777777" w:rsidR="00B6728C" w:rsidRDefault="00B6728C"/>
    <w:p w14:paraId="10DA08C5" w14:textId="77777777" w:rsidR="00B6728C" w:rsidRDefault="00A61170">
      <w:pPr>
        <w:spacing w:before="240" w:after="80"/>
      </w:pPr>
      <w:r>
        <w:rPr>
          <w:b/>
          <w:color w:val="2E75B6"/>
          <w:sz w:val="28"/>
        </w:rPr>
        <w:t>Corridor: S. Glynn Street / US Highway 85</w:t>
      </w:r>
    </w:p>
    <w:p w14:paraId="178F2B4F" w14:textId="77777777" w:rsidR="00B6728C" w:rsidRDefault="00A61170">
      <w:r>
        <w:t>S. Glynn Street (designated as US Highway 85 / State Route 85) is the principal north-south arterial through Fayetteville, connecting Fayetteville south to Senoia and north toward Riverdale, College Park, and Atlanta. The corridor carries substantial daily vehicle counts and is densely lined with retail, restaurant, automotive service, and convenience commercial uses.</w:t>
      </w:r>
    </w:p>
    <w:p w14:paraId="6A7D42F3" w14:textId="77777777" w:rsidR="00B6728C" w:rsidRDefault="00B6728C"/>
    <w:p w14:paraId="627E4888" w14:textId="77777777" w:rsidR="00B6728C" w:rsidRDefault="00A61170">
      <w:r>
        <w:t>Summit Plaza occupies a 111-foot frontage on this corridor, with direct curb-cut access and high visibility. Adjacent tenancy includes Waffle House and other established retail and restaurant operators.</w:t>
      </w:r>
    </w:p>
    <w:p w14:paraId="21B16499" w14:textId="77777777" w:rsidR="00B6728C" w:rsidRDefault="00B6728C"/>
    <w:p w14:paraId="2D6CF73B" w14:textId="77777777" w:rsidR="00B6728C" w:rsidRDefault="00A61170">
      <w:pPr>
        <w:spacing w:before="240" w:after="80"/>
      </w:pPr>
      <w:r>
        <w:rPr>
          <w:b/>
          <w:color w:val="2E75B6"/>
          <w:sz w:val="28"/>
        </w:rPr>
        <w:t>Atlanta MSA Position</w:t>
      </w:r>
    </w:p>
    <w:tbl>
      <w:tblPr>
        <w:tblStyle w:val="LightGrid-Accent1"/>
        <w:tblW w:w="0" w:type="auto"/>
        <w:tblLook w:val="04A0" w:firstRow="1" w:lastRow="0" w:firstColumn="1" w:lastColumn="0" w:noHBand="0" w:noVBand="1"/>
      </w:tblPr>
      <w:tblGrid>
        <w:gridCol w:w="5030"/>
        <w:gridCol w:w="5030"/>
      </w:tblGrid>
      <w:tr w:rsidR="00B6728C" w14:paraId="67C3D2C5"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48556E5F" w14:textId="77777777" w:rsidR="00B6728C" w:rsidRDefault="00A61170">
            <w:r>
              <w:rPr>
                <w:sz w:val="21"/>
              </w:rPr>
              <w:t>Distance to Downtown Atlanta</w:t>
            </w:r>
          </w:p>
        </w:tc>
        <w:tc>
          <w:tcPr>
            <w:tcW w:w="5040" w:type="dxa"/>
          </w:tcPr>
          <w:p w14:paraId="1078077C" w14:textId="77777777" w:rsidR="00B6728C" w:rsidRDefault="00A61170">
            <w:pPr>
              <w:cnfStyle w:val="100000000000" w:firstRow="1" w:lastRow="0" w:firstColumn="0" w:lastColumn="0" w:oddVBand="0" w:evenVBand="0" w:oddHBand="0" w:evenHBand="0" w:firstRowFirstColumn="0" w:firstRowLastColumn="0" w:lastRowFirstColumn="0" w:lastRowLastColumn="0"/>
            </w:pPr>
            <w:r>
              <w:rPr>
                <w:sz w:val="21"/>
              </w:rPr>
              <w:t>~25 miles north</w:t>
            </w:r>
          </w:p>
        </w:tc>
      </w:tr>
      <w:tr w:rsidR="00B6728C" w14:paraId="58B7EB30"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5E79CEA5" w14:textId="77777777" w:rsidR="00B6728C" w:rsidRDefault="00A61170">
            <w:r>
              <w:rPr>
                <w:sz w:val="21"/>
              </w:rPr>
              <w:t>Distance to Hartsfield-Jackson Airport</w:t>
            </w:r>
          </w:p>
        </w:tc>
        <w:tc>
          <w:tcPr>
            <w:tcW w:w="5040" w:type="dxa"/>
          </w:tcPr>
          <w:p w14:paraId="01F96C2F"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~22 miles north</w:t>
            </w:r>
          </w:p>
        </w:tc>
      </w:tr>
      <w:tr w:rsidR="00B6728C" w14:paraId="4B108715"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22C67F69" w14:textId="77777777" w:rsidR="00B6728C" w:rsidRDefault="00A61170">
            <w:r>
              <w:rPr>
                <w:sz w:val="21"/>
              </w:rPr>
              <w:t>Atlanta MSA Population</w:t>
            </w:r>
          </w:p>
        </w:tc>
        <w:tc>
          <w:tcPr>
            <w:tcW w:w="5040" w:type="dxa"/>
          </w:tcPr>
          <w:p w14:paraId="3412AA00"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~6.3 million (9th-largest MSA in U.S.)</w:t>
            </w:r>
          </w:p>
        </w:tc>
      </w:tr>
      <w:tr w:rsidR="00B6728C" w14:paraId="3BE276A2"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541B1C9A" w14:textId="77777777" w:rsidR="00B6728C" w:rsidRDefault="00A61170">
            <w:r>
              <w:rPr>
                <w:sz w:val="21"/>
              </w:rPr>
              <w:t>Atlanta MSA GDP</w:t>
            </w:r>
          </w:p>
        </w:tc>
        <w:tc>
          <w:tcPr>
            <w:tcW w:w="5040" w:type="dxa"/>
          </w:tcPr>
          <w:p w14:paraId="2F250FF8"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~$525 billion (16th-largest U.S. metro economy)</w:t>
            </w:r>
          </w:p>
        </w:tc>
      </w:tr>
    </w:tbl>
    <w:p w14:paraId="79EE0103" w14:textId="77777777" w:rsidR="00B6728C" w:rsidRDefault="00A61170">
      <w:r>
        <w:br w:type="page"/>
      </w:r>
    </w:p>
    <w:p w14:paraId="3AA9B9F7" w14:textId="77777777" w:rsidR="00B6728C" w:rsidRDefault="00A61170">
      <w:pPr>
        <w:spacing w:after="120"/>
      </w:pPr>
      <w:r>
        <w:rPr>
          <w:b/>
          <w:color w:val="1F4E79"/>
          <w:sz w:val="40"/>
        </w:rPr>
        <w:lastRenderedPageBreak/>
        <w:t>Investment Analysis</w:t>
      </w:r>
    </w:p>
    <w:p w14:paraId="1C500589" w14:textId="77777777" w:rsidR="00B6728C" w:rsidRDefault="00A61170">
      <w:pPr>
        <w:spacing w:before="240" w:after="80"/>
      </w:pPr>
      <w:r>
        <w:rPr>
          <w:b/>
          <w:color w:val="2E75B6"/>
          <w:sz w:val="28"/>
        </w:rPr>
        <w:t>Cap Rate &amp; Return Sensitivity</w:t>
      </w:r>
    </w:p>
    <w:p w14:paraId="44F11337" w14:textId="77777777" w:rsidR="00B6728C" w:rsidRDefault="00A61170">
      <w:r>
        <w:t>Year 1 in-place NOI sensitivity to varying cap rate assumptions:</w:t>
      </w:r>
    </w:p>
    <w:p w14:paraId="6F7AF287" w14:textId="77777777" w:rsidR="00B6728C" w:rsidRDefault="00B6728C"/>
    <w:tbl>
      <w:tblPr>
        <w:tblStyle w:val="LightGrid-Accent1"/>
        <w:tblW w:w="0" w:type="auto"/>
        <w:tblLook w:val="04A0" w:firstRow="1" w:lastRow="0" w:firstColumn="1" w:lastColumn="0" w:noHBand="0" w:noVBand="1"/>
      </w:tblPr>
      <w:tblGrid>
        <w:gridCol w:w="3353"/>
        <w:gridCol w:w="3354"/>
        <w:gridCol w:w="3353"/>
      </w:tblGrid>
      <w:tr w:rsidR="00B6728C" w14:paraId="3107B169"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shd w:val="clear" w:color="auto" w:fill="1F4E79"/>
          </w:tcPr>
          <w:p w14:paraId="5AB7252B" w14:textId="77777777" w:rsidR="00B6728C" w:rsidRDefault="00A61170">
            <w:pPr>
              <w:jc w:val="center"/>
            </w:pPr>
            <w:r>
              <w:rPr>
                <w:color w:val="FFFFFF"/>
                <w:sz w:val="21"/>
              </w:rPr>
              <w:t>Cap Rate</w:t>
            </w:r>
          </w:p>
        </w:tc>
        <w:tc>
          <w:tcPr>
            <w:tcW w:w="3360" w:type="dxa"/>
            <w:shd w:val="clear" w:color="auto" w:fill="1F4E79"/>
          </w:tcPr>
          <w:p w14:paraId="3F19D3D7"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21"/>
              </w:rPr>
              <w:t>Implied Value</w:t>
            </w:r>
          </w:p>
        </w:tc>
        <w:tc>
          <w:tcPr>
            <w:tcW w:w="3360" w:type="dxa"/>
            <w:shd w:val="clear" w:color="auto" w:fill="1F4E79"/>
          </w:tcPr>
          <w:p w14:paraId="5CE0A430"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21"/>
              </w:rPr>
              <w:t>Price PSF</w:t>
            </w:r>
          </w:p>
        </w:tc>
      </w:tr>
      <w:tr w:rsidR="00B6728C" w14:paraId="310E801C"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0F2DD92C" w14:textId="77777777" w:rsidR="00B6728C" w:rsidRDefault="00A61170">
            <w:pPr>
              <w:jc w:val="center"/>
            </w:pPr>
            <w:r>
              <w:rPr>
                <w:sz w:val="21"/>
              </w:rPr>
              <w:t>5.50%</w:t>
            </w:r>
          </w:p>
        </w:tc>
        <w:tc>
          <w:tcPr>
            <w:tcW w:w="3360" w:type="dxa"/>
          </w:tcPr>
          <w:p w14:paraId="6CF12028"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1"/>
              </w:rPr>
              <w:t>$2,420,036</w:t>
            </w:r>
          </w:p>
        </w:tc>
        <w:tc>
          <w:tcPr>
            <w:tcW w:w="3360" w:type="dxa"/>
          </w:tcPr>
          <w:p w14:paraId="796BA10E"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1"/>
              </w:rPr>
              <w:t>$424.57</w:t>
            </w:r>
          </w:p>
        </w:tc>
      </w:tr>
      <w:tr w:rsidR="00B6728C" w14:paraId="43481218"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14558CEA" w14:textId="77777777" w:rsidR="00B6728C" w:rsidRDefault="00A61170">
            <w:pPr>
              <w:jc w:val="center"/>
            </w:pPr>
            <w:r>
              <w:rPr>
                <w:sz w:val="21"/>
              </w:rPr>
              <w:t>6.00%</w:t>
            </w:r>
          </w:p>
        </w:tc>
        <w:tc>
          <w:tcPr>
            <w:tcW w:w="3360" w:type="dxa"/>
          </w:tcPr>
          <w:p w14:paraId="310B9F36"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1"/>
              </w:rPr>
              <w:t>$2,218,367</w:t>
            </w:r>
          </w:p>
        </w:tc>
        <w:tc>
          <w:tcPr>
            <w:tcW w:w="3360" w:type="dxa"/>
          </w:tcPr>
          <w:p w14:paraId="25E7A8EB"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1"/>
              </w:rPr>
              <w:t>$389.19</w:t>
            </w:r>
          </w:p>
        </w:tc>
      </w:tr>
      <w:tr w:rsidR="00B6728C" w14:paraId="6C65B1BA"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3EEAEA93" w14:textId="77777777" w:rsidR="00B6728C" w:rsidRDefault="00A61170">
            <w:pPr>
              <w:jc w:val="center"/>
            </w:pPr>
            <w:r>
              <w:rPr>
                <w:color w:val="1F4E79"/>
                <w:sz w:val="21"/>
              </w:rPr>
              <w:t>6.05%</w:t>
            </w:r>
          </w:p>
        </w:tc>
        <w:tc>
          <w:tcPr>
            <w:tcW w:w="3360" w:type="dxa"/>
          </w:tcPr>
          <w:p w14:paraId="5535EAA9"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b/>
                <w:color w:val="1F4E79"/>
                <w:sz w:val="21"/>
              </w:rPr>
              <w:t>$2,200,000  ← Asking Price</w:t>
            </w:r>
          </w:p>
        </w:tc>
        <w:tc>
          <w:tcPr>
            <w:tcW w:w="3360" w:type="dxa"/>
          </w:tcPr>
          <w:p w14:paraId="10782665"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b/>
                <w:color w:val="1F4E79"/>
                <w:sz w:val="21"/>
              </w:rPr>
              <w:t>$385.96</w:t>
            </w:r>
          </w:p>
        </w:tc>
      </w:tr>
      <w:tr w:rsidR="00B6728C" w14:paraId="453B527B"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14601FE3" w14:textId="77777777" w:rsidR="00B6728C" w:rsidRDefault="00A61170">
            <w:pPr>
              <w:jc w:val="center"/>
            </w:pPr>
            <w:r>
              <w:rPr>
                <w:sz w:val="21"/>
              </w:rPr>
              <w:t>6.50%</w:t>
            </w:r>
          </w:p>
        </w:tc>
        <w:tc>
          <w:tcPr>
            <w:tcW w:w="3360" w:type="dxa"/>
          </w:tcPr>
          <w:p w14:paraId="46B40FEC"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1"/>
              </w:rPr>
              <w:t>$2,047,723</w:t>
            </w:r>
          </w:p>
        </w:tc>
        <w:tc>
          <w:tcPr>
            <w:tcW w:w="3360" w:type="dxa"/>
          </w:tcPr>
          <w:p w14:paraId="04D39D04"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1"/>
              </w:rPr>
              <w:t>$359.25</w:t>
            </w:r>
          </w:p>
        </w:tc>
      </w:tr>
      <w:tr w:rsidR="00B6728C" w14:paraId="5931852D"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0" w:type="dxa"/>
          </w:tcPr>
          <w:p w14:paraId="0FD82316" w14:textId="77777777" w:rsidR="00B6728C" w:rsidRDefault="00A61170">
            <w:pPr>
              <w:jc w:val="center"/>
            </w:pPr>
            <w:r>
              <w:rPr>
                <w:sz w:val="21"/>
              </w:rPr>
              <w:t>7.00%</w:t>
            </w:r>
          </w:p>
        </w:tc>
        <w:tc>
          <w:tcPr>
            <w:tcW w:w="3360" w:type="dxa"/>
          </w:tcPr>
          <w:p w14:paraId="71C6B3C5"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1"/>
              </w:rPr>
              <w:t>$1,901,457</w:t>
            </w:r>
          </w:p>
        </w:tc>
        <w:tc>
          <w:tcPr>
            <w:tcW w:w="3360" w:type="dxa"/>
          </w:tcPr>
          <w:p w14:paraId="6EEB6FEB"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1"/>
              </w:rPr>
              <w:t>$333.59</w:t>
            </w:r>
          </w:p>
        </w:tc>
      </w:tr>
    </w:tbl>
    <w:p w14:paraId="5BCF0476" w14:textId="77777777" w:rsidR="00B6728C" w:rsidRDefault="00B6728C"/>
    <w:p w14:paraId="2FEAF909" w14:textId="77777777" w:rsidR="00B6728C" w:rsidRDefault="00A61170">
      <w:pPr>
        <w:spacing w:before="240" w:after="80"/>
      </w:pPr>
      <w:r>
        <w:rPr>
          <w:b/>
          <w:color w:val="2E75B6"/>
          <w:sz w:val="28"/>
        </w:rPr>
        <w:t>Year 1 Cash-on-Cash Return Scenarios</w:t>
      </w:r>
    </w:p>
    <w:p w14:paraId="6460A3C3" w14:textId="77777777" w:rsidR="00B6728C" w:rsidRDefault="00A61170">
      <w:r>
        <w:t>Illustrative cash-on-cash return scenarios assuming 30-year amortization, 7.00% interest rate, and varying loan-to-value:</w:t>
      </w:r>
    </w:p>
    <w:p w14:paraId="6A775358" w14:textId="77777777" w:rsidR="00B6728C" w:rsidRDefault="00B6728C"/>
    <w:tbl>
      <w:tblPr>
        <w:tblStyle w:val="LightGrid-Accent1"/>
        <w:tblW w:w="0" w:type="auto"/>
        <w:tblLook w:val="04A0" w:firstRow="1" w:lastRow="0" w:firstColumn="1" w:lastColumn="0" w:noHBand="0" w:noVBand="1"/>
      </w:tblPr>
      <w:tblGrid>
        <w:gridCol w:w="1674"/>
        <w:gridCol w:w="1678"/>
        <w:gridCol w:w="1678"/>
        <w:gridCol w:w="1677"/>
        <w:gridCol w:w="1677"/>
        <w:gridCol w:w="1676"/>
      </w:tblGrid>
      <w:tr w:rsidR="00B6728C" w14:paraId="7DEA0CB2"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0" w:type="dxa"/>
            <w:shd w:val="clear" w:color="auto" w:fill="1F4E79"/>
          </w:tcPr>
          <w:p w14:paraId="7EC53932" w14:textId="77777777" w:rsidR="00B6728C" w:rsidRDefault="00A61170">
            <w:pPr>
              <w:jc w:val="center"/>
            </w:pPr>
            <w:r>
              <w:rPr>
                <w:color w:val="FFFFFF"/>
                <w:sz w:val="18"/>
              </w:rPr>
              <w:t>LTV</w:t>
            </w:r>
          </w:p>
        </w:tc>
        <w:tc>
          <w:tcPr>
            <w:tcW w:w="1680" w:type="dxa"/>
            <w:shd w:val="clear" w:color="auto" w:fill="1F4E79"/>
          </w:tcPr>
          <w:p w14:paraId="6F303862"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8"/>
              </w:rPr>
              <w:t>Loan Amount</w:t>
            </w:r>
          </w:p>
        </w:tc>
        <w:tc>
          <w:tcPr>
            <w:tcW w:w="1680" w:type="dxa"/>
            <w:shd w:val="clear" w:color="auto" w:fill="1F4E79"/>
          </w:tcPr>
          <w:p w14:paraId="27F0064F"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8"/>
              </w:rPr>
              <w:t>Equity</w:t>
            </w:r>
          </w:p>
        </w:tc>
        <w:tc>
          <w:tcPr>
            <w:tcW w:w="1680" w:type="dxa"/>
            <w:shd w:val="clear" w:color="auto" w:fill="1F4E79"/>
          </w:tcPr>
          <w:p w14:paraId="3E2EBE2B"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8"/>
              </w:rPr>
              <w:t>Annual Debt Service</w:t>
            </w:r>
          </w:p>
        </w:tc>
        <w:tc>
          <w:tcPr>
            <w:tcW w:w="1680" w:type="dxa"/>
            <w:shd w:val="clear" w:color="auto" w:fill="1F4E79"/>
          </w:tcPr>
          <w:p w14:paraId="22425DAD"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8"/>
              </w:rPr>
              <w:t>Cash Flow After Debt</w:t>
            </w:r>
          </w:p>
        </w:tc>
        <w:tc>
          <w:tcPr>
            <w:tcW w:w="1680" w:type="dxa"/>
            <w:shd w:val="clear" w:color="auto" w:fill="1F4E79"/>
          </w:tcPr>
          <w:p w14:paraId="67107875" w14:textId="77777777" w:rsidR="00B6728C" w:rsidRDefault="00A61170">
            <w:pPr>
              <w:jc w:val="center"/>
              <w:cnfStyle w:val="100000000000" w:firstRow="1" w:lastRow="0" w:firstColumn="0" w:lastColumn="0" w:oddVBand="0" w:evenVBand="0" w:oddHBand="0" w:evenHBand="0" w:firstRowFirstColumn="0" w:firstRowLastColumn="0" w:lastRowFirstColumn="0" w:lastRowLastColumn="0"/>
            </w:pPr>
            <w:r>
              <w:rPr>
                <w:color w:val="FFFFFF"/>
                <w:sz w:val="18"/>
              </w:rPr>
              <w:t>Cash-on-Cash</w:t>
            </w:r>
          </w:p>
        </w:tc>
      </w:tr>
      <w:tr w:rsidR="00B6728C" w14:paraId="4B624019"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0" w:type="dxa"/>
          </w:tcPr>
          <w:p w14:paraId="16F613F5" w14:textId="77777777" w:rsidR="00B6728C" w:rsidRDefault="00A61170">
            <w:pPr>
              <w:jc w:val="center"/>
            </w:pPr>
            <w:r>
              <w:rPr>
                <w:sz w:val="20"/>
              </w:rPr>
              <w:t>50%</w:t>
            </w:r>
          </w:p>
        </w:tc>
        <w:tc>
          <w:tcPr>
            <w:tcW w:w="1680" w:type="dxa"/>
          </w:tcPr>
          <w:p w14:paraId="79686B40"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$1,100,000</w:t>
            </w:r>
          </w:p>
        </w:tc>
        <w:tc>
          <w:tcPr>
            <w:tcW w:w="1680" w:type="dxa"/>
          </w:tcPr>
          <w:p w14:paraId="35E780DE"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$1,100,000</w:t>
            </w:r>
          </w:p>
        </w:tc>
        <w:tc>
          <w:tcPr>
            <w:tcW w:w="1680" w:type="dxa"/>
          </w:tcPr>
          <w:p w14:paraId="0D479FFD"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$87,820</w:t>
            </w:r>
          </w:p>
        </w:tc>
        <w:tc>
          <w:tcPr>
            <w:tcW w:w="1680" w:type="dxa"/>
          </w:tcPr>
          <w:p w14:paraId="0FD17080"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$45,282</w:t>
            </w:r>
          </w:p>
        </w:tc>
        <w:tc>
          <w:tcPr>
            <w:tcW w:w="1680" w:type="dxa"/>
          </w:tcPr>
          <w:p w14:paraId="70D58BD4"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4.12%</w:t>
            </w:r>
          </w:p>
        </w:tc>
      </w:tr>
      <w:tr w:rsidR="00B6728C" w14:paraId="4FAEE73A"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0" w:type="dxa"/>
          </w:tcPr>
          <w:p w14:paraId="1341D122" w14:textId="77777777" w:rsidR="00B6728C" w:rsidRDefault="00A61170">
            <w:pPr>
              <w:jc w:val="center"/>
            </w:pPr>
            <w:r>
              <w:rPr>
                <w:sz w:val="20"/>
              </w:rPr>
              <w:t>60%</w:t>
            </w:r>
          </w:p>
        </w:tc>
        <w:tc>
          <w:tcPr>
            <w:tcW w:w="1680" w:type="dxa"/>
          </w:tcPr>
          <w:p w14:paraId="5F00B4DB"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0"/>
              </w:rPr>
              <w:t>$1,320,000</w:t>
            </w:r>
          </w:p>
        </w:tc>
        <w:tc>
          <w:tcPr>
            <w:tcW w:w="1680" w:type="dxa"/>
          </w:tcPr>
          <w:p w14:paraId="3927158B"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0"/>
              </w:rPr>
              <w:t>$880,000</w:t>
            </w:r>
          </w:p>
        </w:tc>
        <w:tc>
          <w:tcPr>
            <w:tcW w:w="1680" w:type="dxa"/>
          </w:tcPr>
          <w:p w14:paraId="2B724320"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0"/>
              </w:rPr>
              <w:t>$105,384</w:t>
            </w:r>
          </w:p>
        </w:tc>
        <w:tc>
          <w:tcPr>
            <w:tcW w:w="1680" w:type="dxa"/>
          </w:tcPr>
          <w:p w14:paraId="5985DCFE"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0"/>
              </w:rPr>
              <w:t>$27,718</w:t>
            </w:r>
          </w:p>
        </w:tc>
        <w:tc>
          <w:tcPr>
            <w:tcW w:w="1680" w:type="dxa"/>
          </w:tcPr>
          <w:p w14:paraId="7F7BE937"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0"/>
              </w:rPr>
              <w:t>3.15%</w:t>
            </w:r>
          </w:p>
        </w:tc>
      </w:tr>
      <w:tr w:rsidR="00B6728C" w14:paraId="4A478B43"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0" w:type="dxa"/>
          </w:tcPr>
          <w:p w14:paraId="03E98CD7" w14:textId="77777777" w:rsidR="00B6728C" w:rsidRDefault="00A61170">
            <w:pPr>
              <w:jc w:val="center"/>
            </w:pPr>
            <w:r>
              <w:rPr>
                <w:sz w:val="20"/>
              </w:rPr>
              <w:t>65%</w:t>
            </w:r>
          </w:p>
        </w:tc>
        <w:tc>
          <w:tcPr>
            <w:tcW w:w="1680" w:type="dxa"/>
          </w:tcPr>
          <w:p w14:paraId="31CCD5BE"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$1,430,000</w:t>
            </w:r>
          </w:p>
        </w:tc>
        <w:tc>
          <w:tcPr>
            <w:tcW w:w="1680" w:type="dxa"/>
          </w:tcPr>
          <w:p w14:paraId="1A30B85C"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$770,000</w:t>
            </w:r>
          </w:p>
        </w:tc>
        <w:tc>
          <w:tcPr>
            <w:tcW w:w="1680" w:type="dxa"/>
          </w:tcPr>
          <w:p w14:paraId="5A1D6F32"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$114,166</w:t>
            </w:r>
          </w:p>
        </w:tc>
        <w:tc>
          <w:tcPr>
            <w:tcW w:w="1680" w:type="dxa"/>
          </w:tcPr>
          <w:p w14:paraId="363FBFD6"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$18,936</w:t>
            </w:r>
          </w:p>
        </w:tc>
        <w:tc>
          <w:tcPr>
            <w:tcW w:w="1680" w:type="dxa"/>
          </w:tcPr>
          <w:p w14:paraId="46AF3315" w14:textId="77777777" w:rsidR="00B6728C" w:rsidRDefault="00A61170">
            <w:pPr>
              <w:jc w:val="center"/>
              <w:cnfStyle w:val="000000100000" w:firstRow="0" w:lastRow="0" w:firstColumn="0" w:lastColumn="0" w:oddVBand="0" w:evenVBand="0" w:oddHBand="1" w:evenHBand="0" w:firstRowFirstColumn="0" w:firstRowLastColumn="0" w:lastRowFirstColumn="0" w:lastRowLastColumn="0"/>
            </w:pPr>
            <w:r>
              <w:rPr>
                <w:sz w:val="20"/>
              </w:rPr>
              <w:t>2.46%</w:t>
            </w:r>
          </w:p>
        </w:tc>
      </w:tr>
      <w:tr w:rsidR="00B6728C" w14:paraId="2A81C217"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0" w:type="dxa"/>
          </w:tcPr>
          <w:p w14:paraId="35B672FD" w14:textId="77777777" w:rsidR="00B6728C" w:rsidRDefault="00A61170">
            <w:pPr>
              <w:jc w:val="center"/>
            </w:pPr>
            <w:r>
              <w:rPr>
                <w:sz w:val="20"/>
              </w:rPr>
              <w:t>70%</w:t>
            </w:r>
          </w:p>
        </w:tc>
        <w:tc>
          <w:tcPr>
            <w:tcW w:w="1680" w:type="dxa"/>
          </w:tcPr>
          <w:p w14:paraId="33663219"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0"/>
              </w:rPr>
              <w:t>$1,540,000</w:t>
            </w:r>
          </w:p>
        </w:tc>
        <w:tc>
          <w:tcPr>
            <w:tcW w:w="1680" w:type="dxa"/>
          </w:tcPr>
          <w:p w14:paraId="729CA8EB"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0"/>
              </w:rPr>
              <w:t>$660,000</w:t>
            </w:r>
          </w:p>
        </w:tc>
        <w:tc>
          <w:tcPr>
            <w:tcW w:w="1680" w:type="dxa"/>
          </w:tcPr>
          <w:p w14:paraId="7F093647"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0"/>
              </w:rPr>
              <w:t>$122,948</w:t>
            </w:r>
          </w:p>
        </w:tc>
        <w:tc>
          <w:tcPr>
            <w:tcW w:w="1680" w:type="dxa"/>
          </w:tcPr>
          <w:p w14:paraId="1F744C30"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0"/>
              </w:rPr>
              <w:t>$10,154</w:t>
            </w:r>
          </w:p>
        </w:tc>
        <w:tc>
          <w:tcPr>
            <w:tcW w:w="1680" w:type="dxa"/>
          </w:tcPr>
          <w:p w14:paraId="4B9B93CB" w14:textId="77777777" w:rsidR="00B6728C" w:rsidRDefault="00A61170">
            <w:pPr>
              <w:jc w:val="center"/>
              <w:cnfStyle w:val="000000010000" w:firstRow="0" w:lastRow="0" w:firstColumn="0" w:lastColumn="0" w:oddVBand="0" w:evenVBand="0" w:oddHBand="0" w:evenHBand="1" w:firstRowFirstColumn="0" w:firstRowLastColumn="0" w:lastRowFirstColumn="0" w:lastRowLastColumn="0"/>
            </w:pPr>
            <w:r>
              <w:rPr>
                <w:sz w:val="20"/>
              </w:rPr>
              <w:t>1.54%</w:t>
            </w:r>
          </w:p>
        </w:tc>
      </w:tr>
    </w:tbl>
    <w:p w14:paraId="4EFFC30C" w14:textId="77777777" w:rsidR="00B6728C" w:rsidRDefault="00B6728C"/>
    <w:p w14:paraId="44EA8345" w14:textId="77777777" w:rsidR="00B6728C" w:rsidRDefault="00A61170">
      <w:r>
        <w:rPr>
          <w:i/>
          <w:color w:val="595959"/>
          <w:sz w:val="19"/>
        </w:rPr>
        <w:t>Assumptions: 7.00% interest, 30-year amortization. Actual rates depend on lender, borrower credit, and loan terms.</w:t>
      </w:r>
    </w:p>
    <w:p w14:paraId="73BAB4B9" w14:textId="77777777" w:rsidR="00B6728C" w:rsidRDefault="00B6728C"/>
    <w:p w14:paraId="5CB4020F" w14:textId="77777777" w:rsidR="00B6728C" w:rsidRDefault="00A61170">
      <w:pPr>
        <w:spacing w:before="240" w:after="80"/>
      </w:pPr>
      <w:r>
        <w:rPr>
          <w:b/>
          <w:color w:val="2E75B6"/>
          <w:sz w:val="28"/>
        </w:rPr>
        <w:t>Key Investor Considerations</w:t>
      </w:r>
    </w:p>
    <w:p w14:paraId="00BFE62D" w14:textId="77777777" w:rsidR="00B6728C" w:rsidRDefault="00A61170">
      <w:pPr>
        <w:spacing w:before="120" w:after="40"/>
      </w:pPr>
      <w:r>
        <w:rPr>
          <w:b/>
          <w:color w:val="404040"/>
          <w:sz w:val="23"/>
        </w:rPr>
        <w:t>Strengths</w:t>
      </w:r>
    </w:p>
    <w:p w14:paraId="5CEDEEF7" w14:textId="77777777" w:rsidR="00B6728C" w:rsidRDefault="00A61170">
      <w:pPr>
        <w:pStyle w:val="ListBullet"/>
      </w:pPr>
      <w:r>
        <w:t>Fully leased income property — investor receives stabilized cash flow from Day 1.</w:t>
      </w:r>
    </w:p>
    <w:p w14:paraId="2EF5506D" w14:textId="77777777" w:rsidR="00B6728C" w:rsidRDefault="00A61170">
      <w:pPr>
        <w:pStyle w:val="ListBullet"/>
      </w:pPr>
      <w:r>
        <w:t>Multi-tenant diversification across three industry categories reduces single-tenant concentration risk.</w:t>
      </w:r>
    </w:p>
    <w:p w14:paraId="141B2A9C" w14:textId="77777777" w:rsidR="00B6728C" w:rsidRDefault="00A61170">
      <w:pPr>
        <w:pStyle w:val="ListBullet"/>
      </w:pPr>
      <w:r>
        <w:t>Staggered lease expirations create natural mark-to-market reset opportunities in 2027, 2028, and 2029.</w:t>
      </w:r>
    </w:p>
    <w:p w14:paraId="713E614F" w14:textId="77777777" w:rsidR="00B6728C" w:rsidRDefault="00A61170">
      <w:pPr>
        <w:pStyle w:val="ListBullet"/>
      </w:pPr>
      <w:r>
        <w:t>CAM pass-through structure transfers operating cost inflation risk to tenants.</w:t>
      </w:r>
    </w:p>
    <w:p w14:paraId="01280E36" w14:textId="77777777" w:rsidR="00B6728C" w:rsidRDefault="00A61170">
      <w:pPr>
        <w:pStyle w:val="ListBullet"/>
      </w:pPr>
      <w:r>
        <w:t>Located in a strong demographic submarket with durable retail demand.</w:t>
      </w:r>
    </w:p>
    <w:p w14:paraId="78B5E07E" w14:textId="77777777" w:rsidR="00B6728C" w:rsidRDefault="00A61170">
      <w:pPr>
        <w:pStyle w:val="ListBullet"/>
      </w:pPr>
      <w:r>
        <w:t>Small, manageable asset size (5,700 SF) suitable for individual or small-fund investors.</w:t>
      </w:r>
    </w:p>
    <w:p w14:paraId="7472286C" w14:textId="77777777" w:rsidR="00B6728C" w:rsidRDefault="00A61170">
      <w:pPr>
        <w:spacing w:before="120" w:after="40"/>
      </w:pPr>
      <w:r>
        <w:rPr>
          <w:b/>
          <w:color w:val="404040"/>
          <w:sz w:val="23"/>
        </w:rPr>
        <w:t>Considerations</w:t>
      </w:r>
    </w:p>
    <w:p w14:paraId="5A85BD21" w14:textId="77777777" w:rsidR="00B6728C" w:rsidRDefault="00A61170">
      <w:pPr>
        <w:pStyle w:val="ListBullet"/>
      </w:pPr>
      <w:r>
        <w:t>Vape retail (Unit D) subject to evolving regulatory landscape.</w:t>
      </w:r>
    </w:p>
    <w:p w14:paraId="57B58B9B" w14:textId="77777777" w:rsidR="00B6728C" w:rsidRDefault="00A61170">
      <w:pPr>
        <w:pStyle w:val="ListBullet"/>
      </w:pPr>
      <w:r>
        <w:t>All three lease expirations occur within a 3-year window — buyer should be prepared to actively manage renewals or re-leasing.</w:t>
      </w:r>
    </w:p>
    <w:p w14:paraId="6AB9935F" w14:textId="77777777" w:rsidR="00B6728C" w:rsidRDefault="00A61170">
      <w:pPr>
        <w:pStyle w:val="ListBullet"/>
      </w:pPr>
      <w:r>
        <w:t>Single-corridor exposure — performance tied to US-85 / S. Glynn Street commercial vitality.</w:t>
      </w:r>
    </w:p>
    <w:p w14:paraId="6C578A16" w14:textId="77777777" w:rsidR="00B6728C" w:rsidRDefault="00A61170">
      <w:r>
        <w:lastRenderedPageBreak/>
        <w:br w:type="page"/>
      </w:r>
    </w:p>
    <w:p w14:paraId="75596161" w14:textId="77777777" w:rsidR="00B6728C" w:rsidRDefault="00A61170">
      <w:pPr>
        <w:spacing w:after="120"/>
      </w:pPr>
      <w:r>
        <w:rPr>
          <w:b/>
          <w:color w:val="1F4E79"/>
          <w:sz w:val="40"/>
        </w:rPr>
        <w:lastRenderedPageBreak/>
        <w:t>Investment Summary</w:t>
      </w:r>
    </w:p>
    <w:p w14:paraId="00F9BBF4" w14:textId="77777777" w:rsidR="00B6728C" w:rsidRDefault="00A61170">
      <w:pPr>
        <w:spacing w:before="240" w:after="80"/>
      </w:pPr>
      <w:r>
        <w:rPr>
          <w:b/>
          <w:color w:val="2E75B6"/>
          <w:sz w:val="28"/>
        </w:rPr>
        <w:t>The Opportunity</w:t>
      </w:r>
    </w:p>
    <w:p w14:paraId="07AC40E8" w14:textId="77777777" w:rsidR="00B6728C" w:rsidRDefault="00A61170">
      <w:r>
        <w:t>Summit Plaza represents an opportunity to acquire a stabilized, 100% leased multi-tenant retail strip center at a market 6.05% cap rate in one of the strongest demographic submarkets of the Atlanta MSA. With three tenants on staggered leases, a near-fully-covered expense pass-through structure, and substantial frontage on a primary commercial corridor, this asset provides immediate cash flow, natural renewal upside, and low ongoing management overhead.</w:t>
      </w:r>
    </w:p>
    <w:p w14:paraId="7642BFC6" w14:textId="77777777" w:rsidR="00B6728C" w:rsidRDefault="00B6728C"/>
    <w:p w14:paraId="79C3FCCF" w14:textId="77777777" w:rsidR="00B6728C" w:rsidRDefault="00A61170">
      <w:pPr>
        <w:spacing w:before="240" w:after="80"/>
      </w:pPr>
      <w:r>
        <w:rPr>
          <w:b/>
          <w:color w:val="2E75B6"/>
          <w:sz w:val="28"/>
        </w:rPr>
        <w:t>Asking Price</w:t>
      </w:r>
    </w:p>
    <w:p w14:paraId="6EC68CC1" w14:textId="77777777" w:rsidR="00B6728C" w:rsidRDefault="00A61170">
      <w:pPr>
        <w:jc w:val="center"/>
      </w:pPr>
      <w:r>
        <w:rPr>
          <w:b/>
          <w:color w:val="1F4E79"/>
          <w:sz w:val="48"/>
        </w:rPr>
        <w:t>$2,200,000</w:t>
      </w:r>
    </w:p>
    <w:p w14:paraId="5212B62F" w14:textId="77777777" w:rsidR="00B6728C" w:rsidRDefault="00A61170">
      <w:pPr>
        <w:jc w:val="center"/>
      </w:pPr>
      <w:r>
        <w:rPr>
          <w:color w:val="404040"/>
          <w:sz w:val="24"/>
        </w:rPr>
        <w:t>$385.96 PSF · 6.05% Cap Rate · $133,102 NOI</w:t>
      </w:r>
    </w:p>
    <w:p w14:paraId="32E3FC78" w14:textId="77777777" w:rsidR="00B6728C" w:rsidRDefault="00B6728C"/>
    <w:p w14:paraId="6F5967CD" w14:textId="77777777" w:rsidR="00B6728C" w:rsidRDefault="00B6728C"/>
    <w:p w14:paraId="53F00601" w14:textId="77777777" w:rsidR="00B6728C" w:rsidRDefault="00A61170">
      <w:pPr>
        <w:spacing w:before="240" w:after="80"/>
      </w:pPr>
      <w:r>
        <w:rPr>
          <w:b/>
          <w:color w:val="2E75B6"/>
          <w:sz w:val="28"/>
        </w:rPr>
        <w:t>Property Snapshot</w:t>
      </w:r>
    </w:p>
    <w:tbl>
      <w:tblPr>
        <w:tblStyle w:val="LightGrid-Accent1"/>
        <w:tblW w:w="0" w:type="auto"/>
        <w:tblLook w:val="04A0" w:firstRow="1" w:lastRow="0" w:firstColumn="1" w:lastColumn="0" w:noHBand="0" w:noVBand="1"/>
      </w:tblPr>
      <w:tblGrid>
        <w:gridCol w:w="5030"/>
        <w:gridCol w:w="5030"/>
      </w:tblGrid>
      <w:tr w:rsidR="00B6728C" w14:paraId="6D8E6F92"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3A2328CF" w14:textId="77777777" w:rsidR="00B6728C" w:rsidRDefault="00A61170">
            <w:r>
              <w:rPr>
                <w:sz w:val="21"/>
              </w:rPr>
              <w:t>Property</w:t>
            </w:r>
          </w:p>
        </w:tc>
        <w:tc>
          <w:tcPr>
            <w:tcW w:w="5040" w:type="dxa"/>
          </w:tcPr>
          <w:p w14:paraId="71E15BDF" w14:textId="77777777" w:rsidR="00B6728C" w:rsidRDefault="00A61170">
            <w:pPr>
              <w:cnfStyle w:val="100000000000" w:firstRow="1" w:lastRow="0" w:firstColumn="0" w:lastColumn="0" w:oddVBand="0" w:evenVBand="0" w:oddHBand="0" w:evenHBand="0" w:firstRowFirstColumn="0" w:firstRowLastColumn="0" w:lastRowFirstColumn="0" w:lastRowLastColumn="0"/>
            </w:pPr>
            <w:r>
              <w:rPr>
                <w:sz w:val="21"/>
              </w:rPr>
              <w:t>Summit Plaza</w:t>
            </w:r>
          </w:p>
        </w:tc>
      </w:tr>
      <w:tr w:rsidR="00B6728C" w14:paraId="32BA63A5"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0C5B3418" w14:textId="77777777" w:rsidR="00B6728C" w:rsidRDefault="00A61170">
            <w:r>
              <w:rPr>
                <w:sz w:val="21"/>
              </w:rPr>
              <w:t>Address</w:t>
            </w:r>
          </w:p>
        </w:tc>
        <w:tc>
          <w:tcPr>
            <w:tcW w:w="5040" w:type="dxa"/>
          </w:tcPr>
          <w:p w14:paraId="21EA4088"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790 S. Glynn Street, Fayetteville, GA 30214</w:t>
            </w:r>
          </w:p>
        </w:tc>
      </w:tr>
      <w:tr w:rsidR="00B6728C" w14:paraId="7E212BF5"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338D7A4C" w14:textId="77777777" w:rsidR="00B6728C" w:rsidRDefault="00A61170">
            <w:r>
              <w:rPr>
                <w:sz w:val="21"/>
              </w:rPr>
              <w:t>County</w:t>
            </w:r>
          </w:p>
        </w:tc>
        <w:tc>
          <w:tcPr>
            <w:tcW w:w="5040" w:type="dxa"/>
          </w:tcPr>
          <w:p w14:paraId="559988C7"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Fayette County · Atlanta MSA</w:t>
            </w:r>
          </w:p>
        </w:tc>
      </w:tr>
      <w:tr w:rsidR="00B6728C" w14:paraId="6D5ED0BE"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59A044E6" w14:textId="77777777" w:rsidR="00B6728C" w:rsidRDefault="00A61170">
            <w:r>
              <w:rPr>
                <w:sz w:val="21"/>
              </w:rPr>
              <w:t>Asset Type</w:t>
            </w:r>
          </w:p>
        </w:tc>
        <w:tc>
          <w:tcPr>
            <w:tcW w:w="5040" w:type="dxa"/>
          </w:tcPr>
          <w:p w14:paraId="747FFECC"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Multi-Tenant Retail Strip Center</w:t>
            </w:r>
          </w:p>
        </w:tc>
      </w:tr>
      <w:tr w:rsidR="00B6728C" w14:paraId="2B6A0456"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697AF3F2" w14:textId="77777777" w:rsidR="00B6728C" w:rsidRDefault="00A61170">
            <w:r>
              <w:rPr>
                <w:sz w:val="21"/>
              </w:rPr>
              <w:t>GLA</w:t>
            </w:r>
          </w:p>
        </w:tc>
        <w:tc>
          <w:tcPr>
            <w:tcW w:w="5040" w:type="dxa"/>
          </w:tcPr>
          <w:p w14:paraId="2CED6C8C"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5,700 SF (3 Units)</w:t>
            </w:r>
          </w:p>
        </w:tc>
      </w:tr>
      <w:tr w:rsidR="00B6728C" w14:paraId="13A4B5A5"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1D352A0A" w14:textId="77777777" w:rsidR="00B6728C" w:rsidRDefault="00A61170">
            <w:r>
              <w:rPr>
                <w:sz w:val="21"/>
              </w:rPr>
              <w:t>Occupancy</w:t>
            </w:r>
          </w:p>
        </w:tc>
        <w:tc>
          <w:tcPr>
            <w:tcW w:w="5040" w:type="dxa"/>
          </w:tcPr>
          <w:p w14:paraId="1B9A9076"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100% Leased</w:t>
            </w:r>
          </w:p>
        </w:tc>
      </w:tr>
      <w:tr w:rsidR="00B6728C" w14:paraId="135F403E"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30D925F4" w14:textId="77777777" w:rsidR="00B6728C" w:rsidRDefault="00A61170">
            <w:r>
              <w:rPr>
                <w:sz w:val="21"/>
              </w:rPr>
              <w:t>Year 1 NOI</w:t>
            </w:r>
          </w:p>
        </w:tc>
        <w:tc>
          <w:tcPr>
            <w:tcW w:w="5040" w:type="dxa"/>
          </w:tcPr>
          <w:p w14:paraId="1591BF29"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$133,102</w:t>
            </w:r>
          </w:p>
        </w:tc>
      </w:tr>
      <w:tr w:rsidR="00B6728C" w14:paraId="5718F9A2"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483054C7" w14:textId="77777777" w:rsidR="00B6728C" w:rsidRDefault="00A61170">
            <w:r>
              <w:rPr>
                <w:sz w:val="21"/>
              </w:rPr>
              <w:t>Cap Rate</w:t>
            </w:r>
          </w:p>
        </w:tc>
        <w:tc>
          <w:tcPr>
            <w:tcW w:w="5040" w:type="dxa"/>
          </w:tcPr>
          <w:p w14:paraId="0131305C"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6.05%</w:t>
            </w:r>
          </w:p>
        </w:tc>
      </w:tr>
      <w:tr w:rsidR="00B6728C" w14:paraId="3EB49AC7"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742DAF3D" w14:textId="77777777" w:rsidR="00B6728C" w:rsidRDefault="00A61170">
            <w:r>
              <w:rPr>
                <w:sz w:val="21"/>
              </w:rPr>
              <w:t>Asking Price</w:t>
            </w:r>
          </w:p>
        </w:tc>
        <w:tc>
          <w:tcPr>
            <w:tcW w:w="5040" w:type="dxa"/>
          </w:tcPr>
          <w:p w14:paraId="17A8B857"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sz w:val="21"/>
              </w:rPr>
              <w:t>$2,200,000</w:t>
            </w:r>
          </w:p>
        </w:tc>
      </w:tr>
      <w:tr w:rsidR="00B6728C" w14:paraId="7B235C6B"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31A28E79" w14:textId="77777777" w:rsidR="00B6728C" w:rsidRDefault="00A61170">
            <w:r>
              <w:rPr>
                <w:sz w:val="21"/>
              </w:rPr>
              <w:t>Price PSF</w:t>
            </w:r>
          </w:p>
        </w:tc>
        <w:tc>
          <w:tcPr>
            <w:tcW w:w="5040" w:type="dxa"/>
          </w:tcPr>
          <w:p w14:paraId="44408B0D"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$385.96</w:t>
            </w:r>
          </w:p>
        </w:tc>
      </w:tr>
    </w:tbl>
    <w:p w14:paraId="169D67E4" w14:textId="77777777" w:rsidR="00B6728C" w:rsidRDefault="00B6728C"/>
    <w:p w14:paraId="2FA74269" w14:textId="77777777" w:rsidR="00B6728C" w:rsidRDefault="00A61170">
      <w:pPr>
        <w:spacing w:before="240" w:after="80"/>
      </w:pPr>
      <w:r>
        <w:rPr>
          <w:b/>
          <w:color w:val="2E75B6"/>
          <w:sz w:val="28"/>
        </w:rPr>
        <w:t>Next Steps</w:t>
      </w:r>
    </w:p>
    <w:p w14:paraId="3EAB92E8" w14:textId="77777777" w:rsidR="00B6728C" w:rsidRDefault="00A61170">
      <w:pPr>
        <w:pStyle w:val="ListBullet"/>
      </w:pPr>
      <w:r>
        <w:t>Confidentiality Agreement (CA) execution required for access to full lease documents and operating financials.</w:t>
      </w:r>
    </w:p>
    <w:p w14:paraId="572FA32D" w14:textId="77777777" w:rsidR="00B6728C" w:rsidRDefault="00A61170">
      <w:pPr>
        <w:pStyle w:val="ListBullet"/>
      </w:pPr>
      <w:r>
        <w:t>Property tour available by appointment.</w:t>
      </w:r>
    </w:p>
    <w:p w14:paraId="5993C778" w14:textId="77777777" w:rsidR="00B6728C" w:rsidRDefault="00A61170">
      <w:pPr>
        <w:pStyle w:val="ListBullet"/>
      </w:pPr>
      <w:r>
        <w:t>Tenant interviews available subject to CA and offer letter of intent.</w:t>
      </w:r>
    </w:p>
    <w:p w14:paraId="1558236F" w14:textId="77777777" w:rsidR="00B6728C" w:rsidRDefault="00A61170">
      <w:pPr>
        <w:pStyle w:val="ListBullet"/>
      </w:pPr>
      <w:r>
        <w:t>Buyer due diligence period: 30–45 days post-LOI is typical for this asset class.</w:t>
      </w:r>
    </w:p>
    <w:p w14:paraId="71540ED2" w14:textId="77777777" w:rsidR="00B6728C" w:rsidRDefault="00B6728C"/>
    <w:p w14:paraId="40C982A7" w14:textId="77777777" w:rsidR="00B6728C" w:rsidRDefault="00B6728C"/>
    <w:p w14:paraId="0DA61DF5" w14:textId="77777777" w:rsidR="00B6728C" w:rsidRDefault="00B6728C"/>
    <w:p w14:paraId="38D7F8F3" w14:textId="77777777" w:rsidR="00B6728C" w:rsidRDefault="00A61170">
      <w:pPr>
        <w:spacing w:before="240" w:after="80"/>
      </w:pPr>
      <w:r>
        <w:rPr>
          <w:b/>
          <w:color w:val="2E75B6"/>
          <w:sz w:val="28"/>
        </w:rPr>
        <w:lastRenderedPageBreak/>
        <w:t>Listing Broker / Contact</w:t>
      </w:r>
    </w:p>
    <w:p w14:paraId="50765DEA" w14:textId="77777777" w:rsidR="00B6728C" w:rsidRDefault="00A61170">
      <w:r>
        <w:t>For all inquiries, property tours, financial information requests, and offer submissions, please contact the Listing Broker of Record:</w:t>
      </w:r>
    </w:p>
    <w:tbl>
      <w:tblPr>
        <w:tblStyle w:val="LightGrid-Accent1"/>
        <w:tblW w:w="0" w:type="auto"/>
        <w:tblLook w:val="04A0" w:firstRow="1" w:lastRow="0" w:firstColumn="1" w:lastColumn="0" w:noHBand="0" w:noVBand="1"/>
      </w:tblPr>
      <w:tblGrid>
        <w:gridCol w:w="5030"/>
        <w:gridCol w:w="5030"/>
      </w:tblGrid>
      <w:tr w:rsidR="00B6728C" w14:paraId="0455FD0E" w14:textId="77777777" w:rsidTr="00B672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67FDB977" w14:textId="77777777" w:rsidR="00B6728C" w:rsidRDefault="00A61170">
            <w:r>
              <w:rPr>
                <w:sz w:val="21"/>
              </w:rPr>
              <w:t>Broker of Record</w:t>
            </w:r>
          </w:p>
        </w:tc>
        <w:tc>
          <w:tcPr>
            <w:tcW w:w="5040" w:type="dxa"/>
          </w:tcPr>
          <w:p w14:paraId="0BC0F3CF" w14:textId="77777777" w:rsidR="00B6728C" w:rsidRDefault="00A61170">
            <w:pPr>
              <w:cnfStyle w:val="100000000000" w:firstRow="1" w:lastRow="0" w:firstColumn="0" w:lastColumn="0" w:oddVBand="0" w:evenVBand="0" w:oddHBand="0" w:evenHBand="0" w:firstRowFirstColumn="0" w:firstRowLastColumn="0" w:lastRowFirstColumn="0" w:lastRowLastColumn="0"/>
            </w:pPr>
            <w:r>
              <w:rPr>
                <w:sz w:val="21"/>
              </w:rPr>
              <w:t>Tony Chiu</w:t>
            </w:r>
          </w:p>
        </w:tc>
      </w:tr>
      <w:tr w:rsidR="00B6728C" w14:paraId="7FC26B07"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71D9C60B" w14:textId="77777777" w:rsidR="00B6728C" w:rsidRDefault="00A61170">
            <w:r>
              <w:rPr>
                <w:sz w:val="21"/>
              </w:rPr>
              <w:t>Brokerage</w:t>
            </w:r>
          </w:p>
        </w:tc>
        <w:tc>
          <w:tcPr>
            <w:tcW w:w="5040" w:type="dxa"/>
          </w:tcPr>
          <w:p w14:paraId="4A8F8A88"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Mega Realty</w:t>
            </w:r>
          </w:p>
        </w:tc>
      </w:tr>
      <w:tr w:rsidR="00B6728C" w14:paraId="5B9EAAE1" w14:textId="77777777" w:rsidTr="00B672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6090F3C3" w14:textId="77777777" w:rsidR="00B6728C" w:rsidRDefault="00A61170">
            <w:r>
              <w:rPr>
                <w:sz w:val="21"/>
              </w:rPr>
              <w:t>Phone</w:t>
            </w:r>
          </w:p>
        </w:tc>
        <w:tc>
          <w:tcPr>
            <w:tcW w:w="5040" w:type="dxa"/>
          </w:tcPr>
          <w:p w14:paraId="33E4625F" w14:textId="77777777" w:rsidR="00B6728C" w:rsidRDefault="00A61170">
            <w:pPr>
              <w:cnfStyle w:val="000000010000" w:firstRow="0" w:lastRow="0" w:firstColumn="0" w:lastColumn="0" w:oddVBand="0" w:evenVBand="0" w:oddHBand="0" w:evenHBand="1" w:firstRowFirstColumn="0" w:firstRowLastColumn="0" w:lastRowFirstColumn="0" w:lastRowLastColumn="0"/>
            </w:pPr>
            <w:r>
              <w:rPr>
                <w:b/>
                <w:color w:val="1F4E79"/>
                <w:sz w:val="26"/>
              </w:rPr>
              <w:t>(626) 228-7899</w:t>
            </w:r>
          </w:p>
        </w:tc>
      </w:tr>
      <w:tr w:rsidR="00B6728C" w14:paraId="3B781E8E" w14:textId="77777777" w:rsidTr="00B672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40" w:type="dxa"/>
            <w:shd w:val="clear" w:color="auto" w:fill="EAF2F8"/>
          </w:tcPr>
          <w:p w14:paraId="710E67CE" w14:textId="77777777" w:rsidR="00B6728C" w:rsidRDefault="00A61170">
            <w:r>
              <w:rPr>
                <w:sz w:val="21"/>
              </w:rPr>
              <w:t>Property Inquiries</w:t>
            </w:r>
          </w:p>
        </w:tc>
        <w:tc>
          <w:tcPr>
            <w:tcW w:w="5040" w:type="dxa"/>
          </w:tcPr>
          <w:p w14:paraId="50B14385" w14:textId="77777777" w:rsidR="00B6728C" w:rsidRDefault="00A61170">
            <w:pPr>
              <w:cnfStyle w:val="000000100000" w:firstRow="0" w:lastRow="0" w:firstColumn="0" w:lastColumn="0" w:oddVBand="0" w:evenVBand="0" w:oddHBand="1" w:evenHBand="0" w:firstRowFirstColumn="0" w:firstRowLastColumn="0" w:lastRowFirstColumn="0" w:lastRowLastColumn="0"/>
            </w:pPr>
            <w:r>
              <w:rPr>
                <w:sz w:val="21"/>
              </w:rPr>
              <w:t>Submit all LOIs, financials, and tour requests through Listing Broker</w:t>
            </w:r>
          </w:p>
        </w:tc>
      </w:tr>
    </w:tbl>
    <w:p w14:paraId="0A39143E" w14:textId="77777777" w:rsidR="00B6728C" w:rsidRDefault="00B6728C"/>
    <w:p w14:paraId="4ACA3C28" w14:textId="77777777" w:rsidR="00B6728C" w:rsidRDefault="00A61170">
      <w:pPr>
        <w:jc w:val="center"/>
      </w:pPr>
      <w:r>
        <w:rPr>
          <w:b/>
          <w:color w:val="1F4E79"/>
          <w:sz w:val="32"/>
        </w:rPr>
        <w:t>Tony Chiu  ·  Mega Realty</w:t>
      </w:r>
    </w:p>
    <w:p w14:paraId="4B7295C2" w14:textId="77777777" w:rsidR="00B6728C" w:rsidRDefault="00A61170">
      <w:pPr>
        <w:jc w:val="center"/>
      </w:pPr>
      <w:r>
        <w:rPr>
          <w:b/>
          <w:color w:val="2E75B6"/>
          <w:sz w:val="36"/>
        </w:rPr>
        <w:t>(626) 228-7899</w:t>
      </w:r>
    </w:p>
    <w:p w14:paraId="05E81B68" w14:textId="77777777" w:rsidR="00B6728C" w:rsidRDefault="00B6728C"/>
    <w:p w14:paraId="347015C9" w14:textId="77777777" w:rsidR="00B6728C" w:rsidRDefault="00A61170">
      <w:pPr>
        <w:jc w:val="center"/>
      </w:pPr>
      <w:r>
        <w:rPr>
          <w:color w:val="808080"/>
        </w:rPr>
        <w:t>────────────────────────────────────────────────────────────────────────────────</w:t>
      </w:r>
    </w:p>
    <w:p w14:paraId="4B0091EA" w14:textId="77777777" w:rsidR="00B6728C" w:rsidRDefault="00B6728C"/>
    <w:p w14:paraId="6FEAAC4D" w14:textId="77777777" w:rsidR="00B6728C" w:rsidRDefault="00A61170">
      <w:pPr>
        <w:spacing w:before="120" w:after="40"/>
      </w:pPr>
      <w:r>
        <w:rPr>
          <w:b/>
          <w:color w:val="808080"/>
          <w:sz w:val="23"/>
        </w:rPr>
        <w:t>Disclaimer</w:t>
      </w:r>
    </w:p>
    <w:p w14:paraId="18E0EE33" w14:textId="77777777" w:rsidR="00B6728C" w:rsidRDefault="00A61170">
      <w:r>
        <w:rPr>
          <w:i/>
          <w:color w:val="808080"/>
          <w:sz w:val="18"/>
        </w:rPr>
        <w:t xml:space="preserve">This Offering Memorandum is provided for informational purposes only by Tony Chiu, Mega Realty, Listing Broker of Record. All financial information has been provided by the property owner and is believed to be accurate but is not warranted. Prospective purchasers are responsible for independent verification of all information. Financial projections, cap rate sensitivities, and cash-on-cash return scenarios are illustrative only and do not constitute a guarantee of future performance. This document does not </w:t>
      </w:r>
      <w:r>
        <w:rPr>
          <w:i/>
          <w:color w:val="808080"/>
          <w:sz w:val="18"/>
        </w:rPr>
        <w:t>constitute an appraisal under USPAP standards. Buyer due diligence is required and recommended. The property is offered subject to prior sale, withdrawal, change of terms, or errors and omissions.</w:t>
      </w:r>
    </w:p>
    <w:p w14:paraId="081EE77C" w14:textId="77777777" w:rsidR="00B6728C" w:rsidRDefault="00B6728C"/>
    <w:p w14:paraId="24A32211" w14:textId="77777777" w:rsidR="00B6728C" w:rsidRDefault="00A61170">
      <w:pPr>
        <w:jc w:val="center"/>
      </w:pPr>
      <w:r>
        <w:rPr>
          <w:i/>
          <w:color w:val="808080"/>
          <w:sz w:val="18"/>
        </w:rPr>
        <w:t>Offering Memorandum · Summit Plaza · June 2026 · v4.0</w:t>
      </w:r>
    </w:p>
    <w:sectPr w:rsidR="00B6728C" w:rsidSect="00034616">
      <w:pgSz w:w="12240" w:h="15840"/>
      <w:pgMar w:top="864" w:right="1080" w:bottom="86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49268553">
    <w:abstractNumId w:val="8"/>
  </w:num>
  <w:num w:numId="2" w16cid:durableId="95561540">
    <w:abstractNumId w:val="6"/>
  </w:num>
  <w:num w:numId="3" w16cid:durableId="1498837172">
    <w:abstractNumId w:val="5"/>
  </w:num>
  <w:num w:numId="4" w16cid:durableId="1092899518">
    <w:abstractNumId w:val="4"/>
  </w:num>
  <w:num w:numId="5" w16cid:durableId="1543905267">
    <w:abstractNumId w:val="7"/>
  </w:num>
  <w:num w:numId="6" w16cid:durableId="181555599">
    <w:abstractNumId w:val="3"/>
  </w:num>
  <w:num w:numId="7" w16cid:durableId="560603925">
    <w:abstractNumId w:val="2"/>
  </w:num>
  <w:num w:numId="8" w16cid:durableId="295643876">
    <w:abstractNumId w:val="1"/>
  </w:num>
  <w:num w:numId="9" w16cid:durableId="178204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9605A"/>
    <w:rsid w:val="004B3074"/>
    <w:rsid w:val="00966A2A"/>
    <w:rsid w:val="00AA1D8D"/>
    <w:rsid w:val="00B47730"/>
    <w:rsid w:val="00B6728C"/>
    <w:rsid w:val="00BE541A"/>
    <w:rsid w:val="00CB0664"/>
    <w:rsid w:val="00DD381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A8441E"/>
  <w14:defaultImageDpi w14:val="300"/>
  <w15:docId w15:val="{E4BC03B6-6448-41C9-B8E2-DC08EF1E8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1809</Words>
  <Characters>10786</Characters>
  <Application>Microsoft Office Word</Application>
  <DocSecurity>0</DocSecurity>
  <Lines>490</Lines>
  <Paragraphs>406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12189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tony chiu</cp:lastModifiedBy>
  <cp:revision>2</cp:revision>
  <dcterms:created xsi:type="dcterms:W3CDTF">2026-06-05T23:28:00Z</dcterms:created>
  <dcterms:modified xsi:type="dcterms:W3CDTF">2026-06-05T23:28:00Z</dcterms:modified>
  <cp:category/>
</cp:coreProperties>
</file>