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07AFD94" w14:textId="77777777" w:rsidR="00C23FA3" w:rsidRPr="00C23FA3" w:rsidRDefault="00C23FA3" w:rsidP="00C23FA3">
      <w:p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kern w:val="0"/>
          <w14:ligatures w14:val="none"/>
        </w:rPr>
        <w:t>Permitted and conditional uses fall into four primary categories: [</w:t>
      </w:r>
      <w:hyperlink r:id="rId6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1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7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2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>]</w:t>
      </w:r>
    </w:p>
    <w:p w14:paraId="195F0789" w14:textId="77777777" w:rsidR="00C23FA3" w:rsidRPr="00C23FA3" w:rsidRDefault="00C23FA3" w:rsidP="00C23FA3">
      <w:pPr>
        <w:spacing w:after="0" w:line="240" w:lineRule="auto"/>
        <w:rPr>
          <w:rFonts w:ascii="Roboto" w:eastAsia="Times New Roman" w:hAnsi="Roboto" w:cs="Times New Roman"/>
          <w:b/>
          <w:bCs/>
          <w:kern w:val="0"/>
          <w:sz w:val="30"/>
          <w:szCs w:val="3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:sz w:val="30"/>
          <w:szCs w:val="30"/>
          <w14:ligatures w14:val="none"/>
        </w:rPr>
        <w:t>1. Primary Agricultural Pursuits</w:t>
      </w:r>
    </w:p>
    <w:p w14:paraId="6DB0D467" w14:textId="77777777" w:rsidR="00C23FA3" w:rsidRPr="00C23FA3" w:rsidRDefault="00C23FA3" w:rsidP="00C23FA3">
      <w:pPr>
        <w:numPr>
          <w:ilvl w:val="0"/>
          <w:numId w:val="1"/>
        </w:num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Crop Cultivation</w:t>
      </w:r>
      <w:r w:rsidRPr="00C23FA3">
        <w:rPr>
          <w:rFonts w:ascii="Roboto" w:eastAsia="Times New Roman" w:hAnsi="Roboto" w:cs="Times New Roman"/>
          <w:kern w:val="0"/>
          <w14:ligatures w14:val="none"/>
        </w:rPr>
        <w:t>: Commercial growing of plant crops including food, fiber, flowers, and ornamental plants.</w:t>
      </w:r>
    </w:p>
    <w:p w14:paraId="33D1781E" w14:textId="77777777" w:rsidR="00C23FA3" w:rsidRPr="00C23FA3" w:rsidRDefault="00C23FA3" w:rsidP="00C23FA3">
      <w:pPr>
        <w:numPr>
          <w:ilvl w:val="0"/>
          <w:numId w:val="1"/>
        </w:num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Animal Husbandry</w:t>
      </w:r>
      <w:r w:rsidRPr="00C23FA3">
        <w:rPr>
          <w:rFonts w:ascii="Roboto" w:eastAsia="Times New Roman" w:hAnsi="Roboto" w:cs="Times New Roman"/>
          <w:kern w:val="0"/>
          <w14:ligatures w14:val="none"/>
        </w:rPr>
        <w:t>: Commercial livestock raising, grazing, dairying, and apiculture (beekeeping).</w:t>
      </w:r>
    </w:p>
    <w:p w14:paraId="05F9E4C1" w14:textId="77777777" w:rsidR="00C23FA3" w:rsidRPr="00C23FA3" w:rsidRDefault="00C23FA3" w:rsidP="00C23FA3">
      <w:pPr>
        <w:numPr>
          <w:ilvl w:val="0"/>
          <w:numId w:val="1"/>
        </w:num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Greenhouses</w:t>
      </w:r>
      <w:r w:rsidRPr="00C23FA3">
        <w:rPr>
          <w:rFonts w:ascii="Roboto" w:eastAsia="Times New Roman" w:hAnsi="Roboto" w:cs="Times New Roman"/>
          <w:kern w:val="0"/>
          <w14:ligatures w14:val="none"/>
        </w:rPr>
        <w:t>: Soil-dependent and non-soil-dependent greenhouse structures, subject to size and design limitations.</w:t>
      </w:r>
    </w:p>
    <w:p w14:paraId="5EC96906" w14:textId="77777777" w:rsidR="00C23FA3" w:rsidRPr="00C23FA3" w:rsidRDefault="00C23FA3" w:rsidP="00C23FA3">
      <w:pPr>
        <w:numPr>
          <w:ilvl w:val="0"/>
          <w:numId w:val="1"/>
        </w:num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Aquaculture</w:t>
      </w:r>
      <w:r w:rsidRPr="00C23FA3">
        <w:rPr>
          <w:rFonts w:ascii="Roboto" w:eastAsia="Times New Roman" w:hAnsi="Roboto" w:cs="Times New Roman"/>
          <w:kern w:val="0"/>
          <w14:ligatures w14:val="none"/>
        </w:rPr>
        <w:t>: Commercial raising of aquatic organisms. [</w:t>
      </w:r>
      <w:hyperlink r:id="rId8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1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9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2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10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3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11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4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12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5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>]</w:t>
      </w:r>
    </w:p>
    <w:p w14:paraId="6FCEEBC2" w14:textId="77777777" w:rsidR="00C23FA3" w:rsidRPr="00C23FA3" w:rsidRDefault="00C23FA3" w:rsidP="00C23FA3">
      <w:pPr>
        <w:spacing w:after="0" w:line="240" w:lineRule="auto"/>
        <w:rPr>
          <w:rFonts w:ascii="Roboto" w:eastAsia="Times New Roman" w:hAnsi="Roboto" w:cs="Times New Roman"/>
          <w:b/>
          <w:bCs/>
          <w:kern w:val="0"/>
          <w:sz w:val="30"/>
          <w:szCs w:val="3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:sz w:val="30"/>
          <w:szCs w:val="30"/>
          <w14:ligatures w14:val="none"/>
        </w:rPr>
        <w:t>2. Agricultural Support and Infrastructure</w:t>
      </w:r>
    </w:p>
    <w:p w14:paraId="703776D9" w14:textId="77777777" w:rsidR="00C23FA3" w:rsidRPr="00C23FA3" w:rsidRDefault="00C23FA3" w:rsidP="00C23FA3">
      <w:pPr>
        <w:numPr>
          <w:ilvl w:val="0"/>
          <w:numId w:val="2"/>
        </w:num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Farm Buildings</w:t>
      </w:r>
      <w:r w:rsidRPr="00C23FA3">
        <w:rPr>
          <w:rFonts w:ascii="Roboto" w:eastAsia="Times New Roman" w:hAnsi="Roboto" w:cs="Times New Roman"/>
          <w:kern w:val="0"/>
          <w14:ligatures w14:val="none"/>
        </w:rPr>
        <w:t>: Barns, storage sheds, stables, paddocks, and coops used directly for the farming operation.</w:t>
      </w:r>
    </w:p>
    <w:p w14:paraId="1AD748F6" w14:textId="77777777" w:rsidR="00C23FA3" w:rsidRPr="00C23FA3" w:rsidRDefault="00C23FA3" w:rsidP="00C23FA3">
      <w:pPr>
        <w:numPr>
          <w:ilvl w:val="0"/>
          <w:numId w:val="2"/>
        </w:num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On-Site Marketing</w:t>
      </w:r>
      <w:r w:rsidRPr="00C23FA3">
        <w:rPr>
          <w:rFonts w:ascii="Roboto" w:eastAsia="Times New Roman" w:hAnsi="Roboto" w:cs="Times New Roman"/>
          <w:kern w:val="0"/>
          <w14:ligatures w14:val="none"/>
        </w:rPr>
        <w:t>: Temporary produce sales areas, produce stands, and farm markets selling products grown on-site.</w:t>
      </w:r>
    </w:p>
    <w:p w14:paraId="5016CF05" w14:textId="77777777" w:rsidR="00C23FA3" w:rsidRPr="00C23FA3" w:rsidRDefault="00C23FA3" w:rsidP="00C23FA3">
      <w:pPr>
        <w:numPr>
          <w:ilvl w:val="0"/>
          <w:numId w:val="2"/>
        </w:num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Processing Facilities</w:t>
      </w:r>
      <w:r w:rsidRPr="00C23FA3">
        <w:rPr>
          <w:rFonts w:ascii="Roboto" w:eastAsia="Times New Roman" w:hAnsi="Roboto" w:cs="Times New Roman"/>
          <w:kern w:val="0"/>
          <w14:ligatures w14:val="none"/>
        </w:rPr>
        <w:t>: Small-scale, ancillary facilities for packing or value-added processing of the farm's primary output.</w:t>
      </w:r>
    </w:p>
    <w:p w14:paraId="1610E1DD" w14:textId="77777777" w:rsidR="00C23FA3" w:rsidRPr="00C23FA3" w:rsidRDefault="00C23FA3" w:rsidP="00C23FA3">
      <w:pPr>
        <w:numPr>
          <w:ilvl w:val="0"/>
          <w:numId w:val="2"/>
        </w:num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Water Facilities</w:t>
      </w:r>
      <w:r w:rsidRPr="00C23FA3">
        <w:rPr>
          <w:rFonts w:ascii="Roboto" w:eastAsia="Times New Roman" w:hAnsi="Roboto" w:cs="Times New Roman"/>
          <w:kern w:val="0"/>
          <w14:ligatures w14:val="none"/>
        </w:rPr>
        <w:t>: Recycled water facilities and reservoirs used specifically for agricultural irrigation. [</w:t>
      </w:r>
      <w:hyperlink r:id="rId13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1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14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2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15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3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16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4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17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5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>]</w:t>
      </w:r>
    </w:p>
    <w:p w14:paraId="20B5961B" w14:textId="77777777" w:rsidR="00C23FA3" w:rsidRPr="00C23FA3" w:rsidRDefault="00C23FA3" w:rsidP="00C23FA3">
      <w:pPr>
        <w:spacing w:after="0" w:line="240" w:lineRule="auto"/>
        <w:rPr>
          <w:rFonts w:ascii="Roboto" w:eastAsia="Times New Roman" w:hAnsi="Roboto" w:cs="Times New Roman"/>
          <w:b/>
          <w:bCs/>
          <w:kern w:val="0"/>
          <w:sz w:val="30"/>
          <w:szCs w:val="3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:sz w:val="30"/>
          <w:szCs w:val="30"/>
          <w14:ligatures w14:val="none"/>
        </w:rPr>
        <w:t>3. Agritourism and Low-Impact Public Uses</w:t>
      </w:r>
    </w:p>
    <w:p w14:paraId="714C53D6" w14:textId="77777777" w:rsidR="00C23FA3" w:rsidRPr="00C23FA3" w:rsidRDefault="00C23FA3" w:rsidP="00C23FA3">
      <w:pPr>
        <w:numPr>
          <w:ilvl w:val="0"/>
          <w:numId w:val="3"/>
        </w:num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Agritourism &amp; Education</w:t>
      </w:r>
      <w:r w:rsidRPr="00C23FA3">
        <w:rPr>
          <w:rFonts w:ascii="Roboto" w:eastAsia="Times New Roman" w:hAnsi="Roboto" w:cs="Times New Roman"/>
          <w:kern w:val="0"/>
          <w14:ligatures w14:val="none"/>
        </w:rPr>
        <w:t>: Farm tours, educational classes, and events that remain subordinate to and compatible with the primary farming use.</w:t>
      </w:r>
    </w:p>
    <w:p w14:paraId="18392444" w14:textId="77777777" w:rsidR="00C23FA3" w:rsidRPr="00C23FA3" w:rsidRDefault="00C23FA3" w:rsidP="00C23FA3">
      <w:pPr>
        <w:numPr>
          <w:ilvl w:val="0"/>
          <w:numId w:val="3"/>
        </w:num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Agricultural Homestays</w:t>
      </w:r>
      <w:r w:rsidRPr="00C23FA3">
        <w:rPr>
          <w:rFonts w:ascii="Roboto" w:eastAsia="Times New Roman" w:hAnsi="Roboto" w:cs="Times New Roman"/>
          <w:kern w:val="0"/>
          <w14:ligatures w14:val="none"/>
        </w:rPr>
        <w:t>: Limited farmstay lodging options to supplement agricultural income.</w:t>
      </w:r>
    </w:p>
    <w:p w14:paraId="6331115A" w14:textId="77777777" w:rsidR="00C23FA3" w:rsidRPr="00C23FA3" w:rsidRDefault="00C23FA3" w:rsidP="00C23FA3">
      <w:pPr>
        <w:numPr>
          <w:ilvl w:val="0"/>
          <w:numId w:val="3"/>
        </w:num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Low-Impact Camping</w:t>
      </w:r>
      <w:r w:rsidRPr="00C23FA3">
        <w:rPr>
          <w:rFonts w:ascii="Roboto" w:eastAsia="Times New Roman" w:hAnsi="Roboto" w:cs="Times New Roman"/>
          <w:kern w:val="0"/>
          <w14:ligatures w14:val="none"/>
        </w:rPr>
        <w:t>: Ministerial-level approval is available for low-impact, rural recreational camping areas. [</w:t>
      </w:r>
      <w:hyperlink r:id="rId18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1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19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2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20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3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21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4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>]</w:t>
      </w:r>
    </w:p>
    <w:p w14:paraId="6C73A2ED" w14:textId="77777777" w:rsidR="00C23FA3" w:rsidRPr="00C23FA3" w:rsidRDefault="00C23FA3" w:rsidP="00C23FA3">
      <w:pPr>
        <w:spacing w:after="0" w:line="240" w:lineRule="auto"/>
        <w:rPr>
          <w:rFonts w:ascii="Roboto" w:eastAsia="Times New Roman" w:hAnsi="Roboto" w:cs="Times New Roman"/>
          <w:b/>
          <w:bCs/>
          <w:kern w:val="0"/>
          <w:sz w:val="30"/>
          <w:szCs w:val="3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:sz w:val="30"/>
          <w:szCs w:val="30"/>
          <w14:ligatures w14:val="none"/>
        </w:rPr>
        <w:t>4. Residential and Employee Housing</w:t>
      </w:r>
    </w:p>
    <w:p w14:paraId="2B3E5A41" w14:textId="77777777" w:rsidR="00C23FA3" w:rsidRPr="00C23FA3" w:rsidRDefault="00C23FA3" w:rsidP="00C23FA3">
      <w:pPr>
        <w:numPr>
          <w:ilvl w:val="0"/>
          <w:numId w:val="4"/>
        </w:num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Primary Residence</w:t>
      </w:r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: </w:t>
      </w: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One single-family dwelling</w:t>
      </w:r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 per parcel, permitted as an accessory to the commercial farming operation.</w:t>
      </w:r>
    </w:p>
    <w:p w14:paraId="121948B5" w14:textId="77777777" w:rsidR="00C23FA3" w:rsidRPr="00C23FA3" w:rsidRDefault="00C23FA3" w:rsidP="00C23FA3">
      <w:pPr>
        <w:numPr>
          <w:ilvl w:val="0"/>
          <w:numId w:val="4"/>
        </w:num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Accessory Dwelling Units (ADUs)</w:t>
      </w:r>
      <w:r w:rsidRPr="00C23FA3">
        <w:rPr>
          <w:rFonts w:ascii="Roboto" w:eastAsia="Times New Roman" w:hAnsi="Roboto" w:cs="Times New Roman"/>
          <w:kern w:val="0"/>
          <w14:ligatures w14:val="none"/>
        </w:rPr>
        <w:t>: ADUs and Junior ADUs (JADUs) are permitted under state and county compliance laws.</w:t>
      </w:r>
    </w:p>
    <w:p w14:paraId="6F06FA1A" w14:textId="77777777" w:rsidR="00C23FA3" w:rsidRPr="00C23FA3" w:rsidRDefault="00C23FA3" w:rsidP="00C23FA3">
      <w:pPr>
        <w:numPr>
          <w:ilvl w:val="0"/>
          <w:numId w:val="4"/>
        </w:num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Farmworker Housing</w:t>
      </w:r>
      <w:r w:rsidRPr="00C23FA3">
        <w:rPr>
          <w:rFonts w:ascii="Roboto" w:eastAsia="Times New Roman" w:hAnsi="Roboto" w:cs="Times New Roman"/>
          <w:kern w:val="0"/>
          <w14:ligatures w14:val="none"/>
        </w:rPr>
        <w:t>: Agricultural employee housing projects, including caretaker units and larger-scale farm worker camps compliant with the Employee Housing Act (EHA). [</w:t>
      </w:r>
      <w:hyperlink r:id="rId22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1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23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2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24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3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25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4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26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5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>]</w:t>
      </w:r>
    </w:p>
    <w:p w14:paraId="79B5BA0B" w14:textId="77777777" w:rsidR="00C23FA3" w:rsidRPr="00C23FA3" w:rsidRDefault="00C23FA3" w:rsidP="00C23FA3">
      <w:pPr>
        <w:spacing w:after="0" w:line="240" w:lineRule="auto"/>
        <w:rPr>
          <w:rFonts w:ascii="Roboto" w:eastAsia="Times New Roman" w:hAnsi="Roboto" w:cs="Times New Roman"/>
          <w:b/>
          <w:bCs/>
          <w:kern w:val="0"/>
          <w:sz w:val="30"/>
          <w:szCs w:val="30"/>
          <w14:ligatures w14:val="none"/>
        </w:rPr>
      </w:pPr>
      <w:r w:rsidRPr="00C23FA3">
        <w:rPr>
          <w:rFonts w:ascii="Roboto" w:eastAsia="Times New Roman" w:hAnsi="Roboto" w:cs="Times New Roman"/>
          <w:b/>
          <w:bCs/>
          <w:kern w:val="0"/>
          <w:sz w:val="30"/>
          <w:szCs w:val="30"/>
          <w14:ligatures w14:val="none"/>
        </w:rPr>
        <w:t>Special Conditional Use: Commercial Cannabis</w:t>
      </w:r>
    </w:p>
    <w:p w14:paraId="4BAF28EA" w14:textId="77777777" w:rsidR="00C23FA3" w:rsidRPr="00C23FA3" w:rsidRDefault="00C23FA3" w:rsidP="00C23FA3">
      <w:pPr>
        <w:numPr>
          <w:ilvl w:val="0"/>
          <w:numId w:val="5"/>
        </w:num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Non-retail </w:t>
      </w: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commercial cannabis cultivation, manufacturing, and distribution</w:t>
      </w:r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 are allowed on CA lands. These operations are highly regulated and require specific local licensing and an approved Best Management and Operation Practices (BMOP) plan. [</w:t>
      </w:r>
      <w:hyperlink r:id="rId27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1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28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2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>]</w:t>
      </w:r>
    </w:p>
    <w:p w14:paraId="19C168A9" w14:textId="77777777" w:rsidR="00C23FA3" w:rsidRPr="00C23FA3" w:rsidRDefault="005A3CAC" w:rsidP="00C23FA3">
      <w:pPr>
        <w:spacing w:before="480" w:after="480" w:line="240" w:lineRule="auto"/>
        <w:rPr>
          <w:rFonts w:ascii="Roboto" w:eastAsia="Times New Roman" w:hAnsi="Roboto" w:cs="Times New Roman"/>
          <w:kern w:val="0"/>
          <w:sz w:val="21"/>
          <w:szCs w:val="21"/>
          <w14:ligatures w14:val="none"/>
        </w:rPr>
      </w:pPr>
      <w:r w:rsidRPr="005A3CAC">
        <w:rPr>
          <w:rFonts w:ascii="Times New Roman" w:eastAsia="Times New Roman" w:hAnsi="Times New Roman" w:cs="Times New Roman"/>
          <w:noProof/>
          <w:kern w:val="0"/>
        </w:rPr>
        <w:pict w14:anchorId="575AF217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p w14:paraId="2BD8D218" w14:textId="77777777" w:rsidR="00C23FA3" w:rsidRPr="00C23FA3" w:rsidRDefault="00C23FA3" w:rsidP="00C23FA3">
      <w:p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i/>
          <w:iCs/>
          <w:kern w:val="0"/>
          <w14:ligatures w14:val="none"/>
        </w:rPr>
        <w:t xml:space="preserve">Note: Depending on the specific use, scale, and whether the parcel sits within the </w:t>
      </w:r>
      <w:r w:rsidRPr="00C23FA3">
        <w:rPr>
          <w:rFonts w:ascii="Roboto" w:eastAsia="Times New Roman" w:hAnsi="Roboto" w:cs="Times New Roman"/>
          <w:b/>
          <w:bCs/>
          <w:i/>
          <w:iCs/>
          <w:kern w:val="0"/>
          <w14:ligatures w14:val="none"/>
        </w:rPr>
        <w:t>Coastal Zone</w:t>
      </w:r>
      <w:r w:rsidRPr="00C23FA3">
        <w:rPr>
          <w:rFonts w:ascii="Roboto" w:eastAsia="Times New Roman" w:hAnsi="Roboto" w:cs="Times New Roman"/>
          <w:i/>
          <w:iCs/>
          <w:kern w:val="0"/>
          <w14:ligatures w14:val="none"/>
        </w:rPr>
        <w:t>, projects may require an Administrative Use Permit (AUP), a Conditional Use Permit (CUP), or a Coastal Development Permit (CDP)</w:t>
      </w:r>
      <w:r w:rsidRPr="00C23FA3">
        <w:rPr>
          <w:rFonts w:ascii="Roboto" w:eastAsia="Times New Roman" w:hAnsi="Roboto" w:cs="Times New Roman"/>
          <w:kern w:val="0"/>
          <w14:ligatures w14:val="none"/>
        </w:rPr>
        <w:t>. [</w:t>
      </w:r>
      <w:hyperlink r:id="rId29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1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, </w:t>
      </w:r>
      <w:hyperlink r:id="rId30" w:history="1">
        <w:r w:rsidRPr="00C23FA3">
          <w:rPr>
            <w:rFonts w:ascii="Roboto" w:eastAsia="Times New Roman" w:hAnsi="Roboto" w:cs="Times New Roman"/>
            <w:color w:val="0000FF"/>
            <w:kern w:val="0"/>
            <w:u w:val="single"/>
            <w14:ligatures w14:val="none"/>
          </w:rPr>
          <w:t>2</w:t>
        </w:r>
      </w:hyperlink>
      <w:r w:rsidRPr="00C23FA3">
        <w:rPr>
          <w:rFonts w:ascii="Roboto" w:eastAsia="Times New Roman" w:hAnsi="Roboto" w:cs="Times New Roman"/>
          <w:kern w:val="0"/>
          <w14:ligatures w14:val="none"/>
        </w:rPr>
        <w:t>]</w:t>
      </w:r>
    </w:p>
    <w:p w14:paraId="3800AD20" w14:textId="77777777" w:rsidR="00C23FA3" w:rsidRPr="00C23FA3" w:rsidRDefault="00C23FA3" w:rsidP="00C23FA3">
      <w:pPr>
        <w:spacing w:after="0" w:line="240" w:lineRule="auto"/>
        <w:rPr>
          <w:rFonts w:ascii="Roboto" w:eastAsia="Times New Roman" w:hAnsi="Roboto" w:cs="Times New Roman"/>
          <w:kern w:val="0"/>
          <w14:ligatures w14:val="none"/>
        </w:rPr>
      </w:pPr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To help narrow this down, are you looking to </w:t>
      </w: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buy or develop</w:t>
      </w:r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 a specific CA parcel? If you share your </w:t>
      </w: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proposed project</w:t>
      </w:r>
      <w:r w:rsidRPr="00C23FA3">
        <w:rPr>
          <w:rFonts w:ascii="Roboto" w:eastAsia="Times New Roman" w:hAnsi="Roboto" w:cs="Times New Roman"/>
          <w:kern w:val="0"/>
          <w14:ligatures w14:val="none"/>
        </w:rPr>
        <w:t xml:space="preserve"> or the </w:t>
      </w:r>
      <w:r w:rsidRPr="00C23FA3">
        <w:rPr>
          <w:rFonts w:ascii="Roboto" w:eastAsia="Times New Roman" w:hAnsi="Roboto" w:cs="Times New Roman"/>
          <w:b/>
          <w:bCs/>
          <w:kern w:val="0"/>
          <w14:ligatures w14:val="none"/>
        </w:rPr>
        <w:t>approximate parcel acreage</w:t>
      </w:r>
      <w:r w:rsidRPr="00C23FA3">
        <w:rPr>
          <w:rFonts w:ascii="Roboto" w:eastAsia="Times New Roman" w:hAnsi="Roboto" w:cs="Times New Roman"/>
          <w:kern w:val="0"/>
          <w14:ligatures w14:val="none"/>
        </w:rPr>
        <w:t>, I can provide details on the specific permit levels and setback rules you will need to follow.</w:t>
      </w:r>
    </w:p>
    <w:p w14:paraId="0498D057" w14:textId="77777777" w:rsidR="00C23FA3" w:rsidRDefault="00C23FA3"/>
    <w:sectPr w:rsidR="00C23F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A2026B1"/>
    <w:multiLevelType w:val="multilevel"/>
    <w:tmpl w:val="2B3E6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7220B5"/>
    <w:multiLevelType w:val="multilevel"/>
    <w:tmpl w:val="0010D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527C0D"/>
    <w:multiLevelType w:val="multilevel"/>
    <w:tmpl w:val="9FD65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62442A"/>
    <w:multiLevelType w:val="multilevel"/>
    <w:tmpl w:val="8C6CA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F33849"/>
    <w:multiLevelType w:val="multilevel"/>
    <w:tmpl w:val="3258A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3674142">
    <w:abstractNumId w:val="3"/>
  </w:num>
  <w:num w:numId="2" w16cid:durableId="1198129454">
    <w:abstractNumId w:val="0"/>
  </w:num>
  <w:num w:numId="3" w16cid:durableId="371542514">
    <w:abstractNumId w:val="4"/>
  </w:num>
  <w:num w:numId="4" w16cid:durableId="1728996235">
    <w:abstractNumId w:val="2"/>
  </w:num>
  <w:num w:numId="5" w16cid:durableId="361705927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FA3"/>
    <w:rsid w:val="005A3CAC"/>
    <w:rsid w:val="00BA7F96"/>
    <w:rsid w:val="00C23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EE5CA"/>
  <w15:chartTrackingRefBased/>
  <w15:docId w15:val="{98BB268F-693F-344D-83CF-8438BB281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3F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3F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3F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3F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3F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3F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3F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3F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3F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3F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3F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3F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3F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3F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3F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3F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3F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3F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3F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3F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3F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3F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3F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3F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3F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3F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3F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3F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3FA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C23FA3"/>
    <w:rPr>
      <w:color w:val="0000FF"/>
      <w:u w:val="single"/>
    </w:rPr>
  </w:style>
  <w:style w:type="paragraph" w:customStyle="1" w:styleId="z1qcye">
    <w:name w:val="z1qcye"/>
    <w:basedOn w:val="Normal"/>
    <w:rsid w:val="00C23F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t286pc">
    <w:name w:val="t286pc"/>
    <w:basedOn w:val="DefaultParagraphFont"/>
    <w:rsid w:val="00C23FA3"/>
  </w:style>
  <w:style w:type="character" w:styleId="Strong">
    <w:name w:val="Strong"/>
    <w:basedOn w:val="DefaultParagraphFont"/>
    <w:uiPriority w:val="22"/>
    <w:qFormat/>
    <w:rsid w:val="00C23FA3"/>
    <w:rPr>
      <w:b/>
      <w:bCs/>
    </w:rPr>
  </w:style>
  <w:style w:type="character" w:styleId="Emphasis">
    <w:name w:val="Emphasis"/>
    <w:basedOn w:val="DefaultParagraphFont"/>
    <w:uiPriority w:val="20"/>
    <w:qFormat/>
    <w:rsid w:val="00C23F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di.santacruzcountyca.gov/Portals/35/CDI/UnifiedPermitCenter/Discretionary%20Permits%20and%20Zoning/Forms%20and%20Publications/Zone%20District%20Summary.pdf" TargetMode="External"/><Relationship Id="rId13" Type="http://schemas.openxmlformats.org/officeDocument/2006/relationships/hyperlink" Target="https://cdi.santacruzcountyca.gov/Portals/35/CDI/UnifiedPermitCenter/Discretionary%20Permits%20and%20Zoning/Forms%20and%20Publications/Zone%20District%20Summary.pdf" TargetMode="External"/><Relationship Id="rId18" Type="http://schemas.openxmlformats.org/officeDocument/2006/relationships/hyperlink" Target="https://cdi.santacruzcountyca.gov/UPC/DiscretionaryPermitsZoning/DiscretionaryPermits/AgriculturalBufferSetbackReductions/AgriculturalResources/FAQs.aspx" TargetMode="External"/><Relationship Id="rId26" Type="http://schemas.openxmlformats.org/officeDocument/2006/relationships/hyperlink" Target="https://cdi.santacruzcountyca.gov/Portals/2/County/Planning/SustainabilityUpdate/Code_Amendments/13_10_631-644_AgriculturalUses_public_draft.pdf?ver=Kap5iykWTJ3fZuLa7P0wuQ%3D%3D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2.santacruzcountyca.gov/planning/plnmeetings/PLNSupMaterial/PC/Agendas/2024/20240313/007.pdf" TargetMode="External"/><Relationship Id="rId7" Type="http://schemas.openxmlformats.org/officeDocument/2006/relationships/hyperlink" Target="https://cdi.santacruzcountyca.gov/Portals/2/County/Planning/SustainabilityUpdate/Code_Amendments/13_10_311-318_AgriculturalDistricts_public_draft.pdf?ver=Kap5iykWTJ3fZuLa7P0wuQ%3D%3D" TargetMode="External"/><Relationship Id="rId12" Type="http://schemas.openxmlformats.org/officeDocument/2006/relationships/hyperlink" Target="https://documents.coastal.ca.gov/reports/1997/6/W14a,b-6-1997.pdf" TargetMode="External"/><Relationship Id="rId17" Type="http://schemas.openxmlformats.org/officeDocument/2006/relationships/hyperlink" Target="https://cdi.santacruzcountyca.gov/UPC/DiscretionaryPermitsZoning/Publications/AccessoryStructures.aspx" TargetMode="External"/><Relationship Id="rId25" Type="http://schemas.openxmlformats.org/officeDocument/2006/relationships/hyperlink" Target="https://cdi.santacruzcountyca.gov/UPC/DiscretionaryPermitsZoning/DiscretionaryPermits/AgriculturalBufferSetbackReductions/AgriculturalResources.asp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amzechproperties.com/blog/zoning-laws-and-land-use-regulations-for-agriculture-in-salinas-valley" TargetMode="External"/><Relationship Id="rId20" Type="http://schemas.openxmlformats.org/officeDocument/2006/relationships/hyperlink" Target="https://cdi.santacruzcountyca.gov/Portals/2/County/Planning/SustainabilityUpdate/Code_Amendments/13_10_631-644_AgriculturalUses_public_draft.pdf?ver=Kap5iykWTJ3fZuLa7P0wuQ%3D%3D" TargetMode="External"/><Relationship Id="rId29" Type="http://schemas.openxmlformats.org/officeDocument/2006/relationships/hyperlink" Target="https://cdi.santacruzcountyca.gov/Portals/2/County/Planning/SustainabilityUpdate/Code_Amendments/13_10_311-318_AgriculturalDistricts_public_draft.pdf?ver=Kap5iykWTJ3fZuLa7P0wuQ%3D%3D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di.santacruzcountyca.gov/Portals/35/CDI/UnifiedPermitCenter/Discretionary%20Permits%20and%20Zoning/Forms%20and%20Publications/Zone%20District%20Summary.pdf" TargetMode="External"/><Relationship Id="rId11" Type="http://schemas.openxmlformats.org/officeDocument/2006/relationships/hyperlink" Target="https://cdi.santacruzcountyca.gov/UPC/DiscretionaryPermitsZoning/DiscretionaryPermits/AgriculturalBufferSetbackReductions/AgriculturalResources.aspx" TargetMode="External"/><Relationship Id="rId24" Type="http://schemas.openxmlformats.org/officeDocument/2006/relationships/hyperlink" Target="https://www2.santacruzcountyca.gov/planning/plnmeetings/ASP/Display/PdfFinder.asp?Type=Agenda&amp;MeetingDate=20241023&amp;MeetingType=1&amp;Filename=006.pdf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cdi.santacruzcountyca.gov/UPC/DiscretionaryPermitsZoning/DiscretionaryPermits/AgriculturalBufferSetbackReductions/AgriculturalResources.aspx" TargetMode="External"/><Relationship Id="rId23" Type="http://schemas.openxmlformats.org/officeDocument/2006/relationships/hyperlink" Target="https://cdi.santacruzcountyca.gov/UPC/DiscretionaryPermitsZoning/DiscretionaryPermits/AgriculturalBufferSetbackReductions/AgriculturalResources/FAQs.aspx" TargetMode="External"/><Relationship Id="rId28" Type="http://schemas.openxmlformats.org/officeDocument/2006/relationships/hyperlink" Target="https://www.sccocannabis.us/Portals/26/pdfs/ADOPTED%20LCP-3-SCO-20-0062-2%20(Cannabis%20Regulations%20Update)%20stfrpt%2012.11.20%20hrg.pdf" TargetMode="External"/><Relationship Id="rId10" Type="http://schemas.openxmlformats.org/officeDocument/2006/relationships/hyperlink" Target="https://documents.coastal.ca.gov/reports/2025/7/Th18b/Th18b-7-2025-exhibits.pdf" TargetMode="External"/><Relationship Id="rId19" Type="http://schemas.openxmlformats.org/officeDocument/2006/relationships/hyperlink" Target="https://cdi.santacruzcountyca.gov/UPC/DiscretionaryPermitsZoning/DiscretionaryPermits/AgriculturalBufferSetbackReductions/AgriculturalResources.aspx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2.santacruzcountyca.gov/planning/plnmeetings/ASP/Display/PdfFinder.asp?Type=Agenda&amp;MeetingDate=20150226&amp;MeetingType=3&amp;Filename=008.pdf" TargetMode="External"/><Relationship Id="rId14" Type="http://schemas.openxmlformats.org/officeDocument/2006/relationships/hyperlink" Target="https://cdi.santacruzcountyca.gov/Portals/2/County/Planning/SustainabilityUpdate/Code_Amendments/13_10_631-644_AgriculturalUses_public_draft.pdf?ver=Kap5iykWTJ3fZuLa7P0wuQ%3D%3D" TargetMode="External"/><Relationship Id="rId22" Type="http://schemas.openxmlformats.org/officeDocument/2006/relationships/hyperlink" Target="https://cdi.santacruzcountyca.gov/Portals/35/CDI/UnifiedPermitCenter/Discretionary%20Permits%20and%20Zoning/Forms%20and%20Publications/Zone%20District%20Summary.pdf" TargetMode="External"/><Relationship Id="rId27" Type="http://schemas.openxmlformats.org/officeDocument/2006/relationships/hyperlink" Target="https://www.santacruzcountyca.gov/Portals/0/County/clo/Signed%2013.10%20Cannabis%20Urgency%20Ordinance.pdf" TargetMode="External"/><Relationship Id="rId30" Type="http://schemas.openxmlformats.org/officeDocument/2006/relationships/hyperlink" Target="https://cdi.santacruzcountyca.gov/Portals/2/County/Planning/SustainabilityUpdate/Code_Amendments/13_10_331-336_CommercialDistricts_public_draf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DAC6745-FCA3-4249-A733-AAC351CA0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988</Words>
  <Characters>5638</Characters>
  <Application>Microsoft Office Word</Application>
  <DocSecurity>0</DocSecurity>
  <Lines>46</Lines>
  <Paragraphs>13</Paragraphs>
  <ScaleCrop>false</ScaleCrop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ZECH</dc:creator>
  <cp:keywords/>
  <dc:description/>
  <cp:lastModifiedBy>PAUL ZECH</cp:lastModifiedBy>
  <cp:revision>1</cp:revision>
  <dcterms:created xsi:type="dcterms:W3CDTF">2026-07-10T13:38:00Z</dcterms:created>
  <dcterms:modified xsi:type="dcterms:W3CDTF">2026-07-10T13:40:00Z</dcterms:modified>
</cp:coreProperties>
</file>