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4.xml" ContentType="application/vnd.openxmlformats-officedocument.wordprocessingml.footer+xml"/>
  <Override PartName="/word/footer6.xml" ContentType="application/vnd.openxmlformats-officedocument.wordprocessingml.footer+xml"/>
  <Override PartName="/word/footer8.xml" ContentType="application/vnd.openxmlformats-officedocument.wordprocessingml.footer+xml"/>
  <Override PartName="/word/footer10.xml" ContentType="application/vnd.openxmlformats-officedocument.wordprocessingml.footer+xml"/>
  <Override PartName="/word/footer12.xml" ContentType="application/vnd.openxmlformats-officedocument.wordprocessingml.footer+xml"/>
  <Override PartName="/word/footer14.xml" ContentType="application/vnd.openxmlformats-officedocument.wordprocessingml.footer+xml"/>
  <Override PartName="/word/footer16.xml" ContentType="application/vnd.openxmlformats-officedocument.wordprocessingml.footer+xml"/>
  <Override PartName="/word/footer18.xml" ContentType="application/vnd.openxmlformats-officedocument.wordprocessingml.footer+xml"/>
  <Override PartName="/word/footer20.xml" ContentType="application/vnd.openxmlformats-officedocument.wordprocessingml.footer+xml"/>
  <Override PartName="/word/footer22.xml" ContentType="application/vnd.openxmlformats-officedocument.wordprocessingml.footer+xml"/>
  <Override PartName="/word/footer24.xml" ContentType="application/vnd.openxmlformats-officedocument.wordprocessingml.footer+xml"/>
  <Override PartName="/word/footer26.xml" ContentType="application/vnd.openxmlformats-officedocument.wordprocessingml.footer+xml"/>
  <Override PartName="/word/footer28.xml" ContentType="application/vnd.openxmlformats-officedocument.wordprocessingml.footer+xml"/>
  <Override PartName="/word/footer30.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header5.xml" ContentType="application/vnd.openxmlformats-officedocument.wordprocessingml.header+xml"/>
  <Override PartName="/word/header7.xml" ContentType="application/vnd.openxmlformats-officedocument.wordprocessingml.header+xml"/>
  <Override PartName="/word/header9.xml" ContentType="application/vnd.openxmlformats-officedocument.wordprocessingml.header+xml"/>
  <Override PartName="/word/header11.xml" ContentType="application/vnd.openxmlformats-officedocument.wordprocessingml.header+xml"/>
  <Override PartName="/word/header13.xml" ContentType="application/vnd.openxmlformats-officedocument.wordprocessingml.header+xml"/>
  <Override PartName="/word/header15.xml" ContentType="application/vnd.openxmlformats-officedocument.wordprocessingml.header+xml"/>
  <Override PartName="/word/header17.xml" ContentType="application/vnd.openxmlformats-officedocument.wordprocessingml.header+xml"/>
  <Override PartName="/word/header19.xml" ContentType="application/vnd.openxmlformats-officedocument.wordprocessingml.header+xml"/>
  <Override PartName="/word/header21.xml" ContentType="application/vnd.openxmlformats-officedocument.wordprocessingml.header+xml"/>
  <Override PartName="/word/header23.xml" ContentType="application/vnd.openxmlformats-officedocument.wordprocessingml.header+xml"/>
  <Override PartName="/word/header25.xml" ContentType="application/vnd.openxmlformats-officedocument.wordprocessingml.header+xml"/>
  <Override PartName="/word/header27.xml" ContentType="application/vnd.openxmlformats-officedocument.wordprocessingml.header+xml"/>
  <Override PartName="/word/header29.xml" ContentType="application/vnd.openxmlformats-officedocument.wordprocessingml.head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pPr>
        <w:pStyle w:val="Heading4"/>
        <w:pBdr/>
        <w:spacing/>
        <w:rPr/>
      </w:pPr>
      <w:r>
        <w:rPr/>
        <w:t xml:space="preserve">DIVISION 5.</w:t>
      </w:r>
      <w:r>
        <w:rPr/>
        <w:t xml:space="preserve"> </w:t>
      </w:r>
      <w:r>
        <w:rPr/>
        <w:t xml:space="preserve">IG/S1 INDUSTRIAL GENERAL-SPECIAL DISTRICT #1</w:t>
      </w:r>
      <w:r>
        <w:rPr>
          <w:rStyle w:val="FootnoteReference"/>
        </w:rPr>
        <w:footnoteReference w:customMarkFollows="0" w:id="1"/>
      </w:r>
    </w:p>
    <w:p>
      <w:pPr>
        <w:pBdr/>
        <w:spacing w:before="0" w:after="0"/>
        <w:rPr/>
        <w:sectPr>
          <w:headerReference w:type="default" r:id="rId1"/>
          <w:footerReference w:type="default" r:id="rId2"/>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28-1041.</w:t>
      </w:r>
      <w:r>
        <w:rPr/>
        <w:t xml:space="preserve"> </w:t>
      </w:r>
      <w:r>
        <w:rPr/>
        <w:t xml:space="preserve">Intent.</w:t>
      </w:r>
    </w:p>
    <w:p>
      <w:pPr>
        <w:pStyle w:val="Paragraph1"/>
        <w:pBdr/>
        <w:spacing/>
        <w:rPr/>
      </w:pPr>
      <w:r>
        <w:rPr>
          <w:rStyle w:val="Paragraph1"/>
        </w:rPr>
        <w:t xml:space="preserve">It is the intent of the IG/S1 district to provide industrial development areas for unique land configurations which may also serve as compatible buffer zones for residential areas. It will recognize the need for special landscaping and special uses which will have limited traffic and noise generation and limited access to and from major thoroughfares. </w:t>
      </w:r>
    </w:p>
    <w:p>
      <w:pPr>
        <w:pStyle w:val="HistoryNote"/>
        <w:pBdr/>
        <w:spacing/>
        <w:rPr/>
      </w:pPr>
      <w:r>
        <w:rPr>
          <w:rStyle w:val="HistoryNote"/>
        </w:rPr>
        <w:t xml:space="preserve">(Ord. No. 2995, § 1, 7-28-81; Ord. No. 3050, § 1, 12-8-81; Ord. No. 3253, § 2, 11-8-83; Ord. No. 3705, § 21, 7-26-88)</w:t>
      </w:r>
    </w:p>
    <w:p>
      <w:pPr>
        <w:pBdr/>
        <w:spacing w:before="0" w:after="0"/>
        <w:rPr/>
        <w:sectPr>
          <w:headerReference w:type="default" r:id="rId3"/>
          <w:footerReference w:type="default" r:id="rId4"/>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28-1042.</w:t>
      </w:r>
      <w:r>
        <w:rPr/>
        <w:t xml:space="preserve"> </w:t>
      </w:r>
      <w:r>
        <w:rPr/>
        <w:t xml:space="preserve">Permitted uses.</w:t>
      </w:r>
    </w:p>
    <w:p>
      <w:pPr>
        <w:pStyle w:val="Paragraph1"/>
        <w:pBdr/>
        <w:spacing/>
        <w:rPr/>
      </w:pPr>
      <w:r>
        <w:rPr>
          <w:rStyle w:val="Paragraph1"/>
        </w:rPr>
        <w:t xml:space="preserve">In IG/S1 districts, no building, structure, land, or part thereof shall be erected, altered or used in whole or in part for other than 1 or more of the following specified uses: </w:t>
      </w:r>
    </w:p>
    <w:p>
      <w:pPr>
        <w:pStyle w:val="List2"/>
        <w:pBdr/>
        <w:spacing/>
        <w:rPr/>
      </w:pPr>
      <w:r>
        <w:rPr/>
        <w:t xml:space="preserve">(a)</w:t>
      </w:r>
      <w:r>
        <w:rPr/>
        <w:tab/>
        <w:t xml:space="preserve"/>
      </w:r>
      <w:r>
        <w:rPr/>
        <w:t xml:space="preserve">Warehouses or storage buildings, including mini warehouses, and accessory uses thereto; provided, however that "self-storage facilities" (which are a type of storage building) shall be subject to the distance separation requirement set forth in </w:t>
      </w:r>
      <w:r>
        <w:rPr/>
        <w:t xml:space="preserve">section 28-1310</w:t>
      </w:r>
      <w:r>
        <w:rPr/>
        <w:t xml:space="preserve">(4)(a). </w:t>
      </w:r>
    </w:p>
    <w:p>
      <w:pPr>
        <w:pStyle w:val="List2"/>
        <w:pBdr/>
        <w:spacing/>
        <w:rPr/>
      </w:pPr>
      <w:r>
        <w:rPr/>
        <w:t xml:space="preserve">(b)</w:t>
      </w:r>
      <w:r>
        <w:rPr/>
        <w:tab/>
        <w:t xml:space="preserve"/>
      </w:r>
      <w:r>
        <w:rPr/>
        <w:t xml:space="preserve">Contractor's office and inside storage. </w:t>
      </w:r>
    </w:p>
    <w:p>
      <w:pPr>
        <w:pStyle w:val="List2"/>
        <w:pBdr/>
        <w:spacing/>
        <w:rPr/>
      </w:pPr>
      <w:r>
        <w:rPr/>
        <w:t xml:space="preserve">(c)</w:t>
      </w:r>
      <w:r>
        <w:rPr/>
        <w:tab/>
        <w:t xml:space="preserve"/>
      </w:r>
      <w:r>
        <w:rPr/>
        <w:t xml:space="preserve">Bicycle repair. </w:t>
      </w:r>
    </w:p>
    <w:p>
      <w:pPr>
        <w:pStyle w:val="List2"/>
        <w:pBdr/>
        <w:spacing/>
        <w:rPr/>
      </w:pPr>
      <w:r>
        <w:rPr/>
        <w:t xml:space="preserve">(d)</w:t>
      </w:r>
      <w:r>
        <w:rPr/>
        <w:tab/>
        <w:t xml:space="preserve"/>
      </w:r>
      <w:r>
        <w:rPr/>
        <w:t xml:space="preserve">Sign painting and sign shops. </w:t>
      </w:r>
    </w:p>
    <w:p>
      <w:pPr>
        <w:pStyle w:val="List2"/>
        <w:pBdr/>
        <w:spacing/>
        <w:rPr/>
      </w:pPr>
      <w:r>
        <w:rPr/>
        <w:t xml:space="preserve">(e)</w:t>
      </w:r>
      <w:r>
        <w:rPr/>
        <w:tab/>
        <w:t xml:space="preserve"/>
      </w:r>
      <w:r>
        <w:rPr/>
        <w:t xml:space="preserve">Repair shops for household appliances. </w:t>
      </w:r>
    </w:p>
    <w:p>
      <w:pPr>
        <w:pStyle w:val="List2"/>
        <w:pBdr/>
        <w:spacing/>
        <w:rPr/>
      </w:pPr>
      <w:r>
        <w:rPr/>
        <w:t xml:space="preserve">(f)</w:t>
      </w:r>
      <w:r>
        <w:rPr/>
        <w:tab/>
        <w:t xml:space="preserve"/>
      </w:r>
      <w:r>
        <w:rPr/>
        <w:t xml:space="preserve">Carpenter and cabinetry making shops. </w:t>
      </w:r>
    </w:p>
    <w:p>
      <w:pPr>
        <w:pStyle w:val="List2"/>
        <w:pBdr/>
        <w:spacing/>
        <w:rPr/>
      </w:pPr>
      <w:r>
        <w:rPr/>
        <w:t xml:space="preserve">(g)</w:t>
      </w:r>
      <w:r>
        <w:rPr/>
        <w:tab/>
        <w:t xml:space="preserve"/>
      </w:r>
      <w:r>
        <w:rPr/>
        <w:t xml:space="preserve">Upholstering shops. </w:t>
      </w:r>
    </w:p>
    <w:p>
      <w:pPr>
        <w:pStyle w:val="List2"/>
        <w:pBdr/>
        <w:spacing/>
        <w:rPr/>
      </w:pPr>
      <w:r>
        <w:rPr/>
        <w:t xml:space="preserve">(h)</w:t>
      </w:r>
      <w:r>
        <w:rPr/>
        <w:tab/>
        <w:t xml:space="preserve"/>
      </w:r>
      <w:r>
        <w:rPr/>
        <w:t xml:space="preserve">Pottery and other ceramic products, utilizing kilns fired only by electricity or gas. </w:t>
      </w:r>
    </w:p>
    <w:p>
      <w:pPr>
        <w:pStyle w:val="List2"/>
        <w:pBdr/>
        <w:spacing/>
        <w:rPr/>
      </w:pPr>
      <w:r>
        <w:rPr/>
        <w:t xml:space="preserve">(i)</w:t>
      </w:r>
      <w:r>
        <w:rPr/>
        <w:tab/>
        <w:t xml:space="preserve"/>
      </w:r>
      <w:r>
        <w:rPr/>
        <w:t xml:space="preserve">Wholesale builder's supply without outdoor storage. </w:t>
      </w:r>
    </w:p>
    <w:p>
      <w:pPr>
        <w:pStyle w:val="List2"/>
        <w:pBdr/>
        <w:spacing/>
        <w:rPr/>
      </w:pPr>
      <w:r>
        <w:rPr/>
        <w:t xml:space="preserve">(j)</w:t>
      </w:r>
      <w:r>
        <w:rPr/>
        <w:tab/>
        <w:t xml:space="preserve"/>
      </w:r>
      <w:r>
        <w:rPr/>
        <w:t xml:space="preserve">Any other light industrial use not requiring conditional approval, and which is approved by the city manager, shall be permitted in this district upon adoption of a resolution, after a public hearing, by the planning and zoning board. </w:t>
      </w:r>
    </w:p>
    <w:p>
      <w:pPr>
        <w:pStyle w:val="List2"/>
        <w:pBdr/>
        <w:spacing/>
        <w:rPr/>
      </w:pPr>
      <w:r>
        <w:rPr/>
        <w:t xml:space="preserve">(k)</w:t>
      </w:r>
      <w:r>
        <w:rPr/>
        <w:tab/>
        <w:t xml:space="preserve"/>
      </w:r>
      <w:r>
        <w:rPr/>
        <w:t xml:space="preserve">As to any use for which outdoor storage is not otherwise prohibited, there shall be no outdoor storage of materials, products or other articles except in an area completely screened from off-premises view by walls or buildings, and not visible above the screening walls and buildings. </w:t>
      </w:r>
    </w:p>
    <w:p>
      <w:pPr>
        <w:pStyle w:val="List2"/>
        <w:pBdr/>
        <w:spacing/>
        <w:rPr/>
      </w:pPr>
      <w:r>
        <w:rPr/>
        <w:t xml:space="preserve">(l)</w:t>
      </w:r>
      <w:r>
        <w:rPr/>
        <w:tab/>
        <w:t xml:space="preserve"/>
      </w:r>
      <w:r>
        <w:rPr/>
        <w:t xml:space="preserve">Child care and adult care centers subject to provisions of </w:t>
      </w:r>
      <w:r>
        <w:rPr/>
        <w:t xml:space="preserve">section 28-1416</w:t>
      </w:r>
      <w:r>
        <w:rPr/>
        <w:t xml:space="preserve"> et seq. </w:t>
      </w:r>
    </w:p>
    <w:p>
      <w:pPr>
        <w:pStyle w:val="List2"/>
        <w:pBdr/>
        <w:spacing/>
        <w:rPr/>
      </w:pPr>
      <w:r>
        <w:rPr/>
        <w:t xml:space="preserve">(m)</w:t>
      </w:r>
      <w:r>
        <w:rPr/>
        <w:tab/>
        <w:t xml:space="preserve"/>
      </w:r>
      <w:r>
        <w:rPr/>
        <w:t xml:space="preserve">Self-storage facility (interior storage unit access) subject to the provisions of </w:t>
      </w:r>
      <w:r>
        <w:rPr/>
        <w:t xml:space="preserve">section 28-1310</w:t>
      </w:r>
      <w:r>
        <w:rPr/>
        <w:t xml:space="preserve">. </w:t>
      </w:r>
    </w:p>
    <w:p>
      <w:pPr>
        <w:pStyle w:val="List2"/>
        <w:pBdr/>
        <w:spacing/>
        <w:rPr/>
      </w:pPr>
      <w:r>
        <w:rPr/>
        <w:t xml:space="preserve">(n)</w:t>
      </w:r>
      <w:r>
        <w:rPr/>
        <w:tab/>
        <w:t xml:space="preserve"/>
      </w:r>
      <w:r>
        <w:rPr/>
        <w:t xml:space="preserve">Mobile food dispensing vehicles shall be allowed as an accessory use (subject to the requirements and limitations set forth in </w:t>
      </w:r>
      <w:r>
        <w:rPr/>
        <w:t xml:space="preserve">section 28-1315</w:t>
      </w:r>
      <w:r>
        <w:rPr/>
        <w:t xml:space="preserve">). </w:t>
      </w:r>
    </w:p>
    <w:p>
      <w:pPr>
        <w:pStyle w:val="List2"/>
        <w:pBdr/>
        <w:spacing/>
        <w:rPr/>
      </w:pPr>
      <w:r>
        <w:rPr/>
        <w:t xml:space="preserve">(o)</w:t>
      </w:r>
      <w:r>
        <w:rPr/>
        <w:tab/>
        <w:t xml:space="preserve"/>
      </w:r>
      <w:r>
        <w:rPr/>
        <w:t xml:space="preserve">Those uses set forth in </w:t>
      </w:r>
      <w:r>
        <w:rPr/>
        <w:t xml:space="preserve">sections 28-1305</w:t>
      </w:r>
      <w:r>
        <w:rPr/>
        <w:t xml:space="preserve">(a) and (b). </w:t>
      </w:r>
    </w:p>
    <w:p>
      <w:pPr>
        <w:pStyle w:val="HistoryNote"/>
        <w:pBdr/>
        <w:spacing/>
        <w:rPr/>
      </w:pPr>
      <w:r>
        <w:rPr>
          <w:rStyle w:val="HistoryNote"/>
        </w:rPr>
        <w:t xml:space="preserve">(Ord. No. 2995, § 1, 7-28-81; Ord. No. 3050, § 1, 12-8-81; Ord. No. 3253, § 2, 11-8-83; Ord. No. 3705, § 21, 7-26-88; Ord. No. 4290, § 22, 10-29-96; Ord. No. 5369, § 6, 5-23-17; Ord. No. 5540, § 4, 9-22-20; Ord. No. 5555, § 28, 1-26-21)</w:t>
      </w:r>
    </w:p>
    <w:p>
      <w:pPr>
        <w:pBdr/>
        <w:spacing w:before="0" w:after="0"/>
        <w:rPr/>
        <w:sectPr>
          <w:headerReference w:type="default" r:id="rId5"/>
          <w:footerReference w:type="default" r:id="rId6"/>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28-1043.</w:t>
      </w:r>
      <w:r>
        <w:rPr/>
        <w:t xml:space="preserve"> </w:t>
      </w:r>
      <w:r>
        <w:rPr/>
        <w:t xml:space="preserve">Conditional uses.</w:t>
      </w:r>
    </w:p>
    <w:p>
      <w:pPr>
        <w:pStyle w:val="Paragraph1"/>
        <w:pBdr/>
        <w:spacing/>
        <w:rPr/>
      </w:pPr>
      <w:r>
        <w:rPr>
          <w:rStyle w:val="Paragraph1"/>
        </w:rPr>
        <w:t xml:space="preserve">Conditional use approval may be requested by the owner of the property in IG/S1 districts for the following use in accordance with division 4 of article II: </w:t>
      </w:r>
    </w:p>
    <w:p>
      <w:pPr>
        <w:pStyle w:val="List2"/>
        <w:pBdr/>
        <w:spacing/>
        <w:rPr/>
      </w:pPr>
      <w:r>
        <w:rPr/>
        <w:t xml:space="preserve">(a)</w:t>
      </w:r>
      <w:r>
        <w:rPr/>
        <w:tab/>
        <w:t xml:space="preserve"/>
      </w:r>
      <w:r>
        <w:rPr/>
        <w:t xml:space="preserve">Antennas, only if required specifically for on-site use. </w:t>
      </w:r>
    </w:p>
    <w:p>
      <w:pPr>
        <w:pStyle w:val="List2"/>
        <w:pBdr/>
        <w:spacing/>
        <w:rPr/>
      </w:pPr>
      <w:r>
        <w:rPr/>
        <w:t xml:space="preserve">(b)</w:t>
      </w:r>
      <w:r>
        <w:rPr/>
        <w:tab/>
        <w:t xml:space="preserve"/>
      </w:r>
      <w:r>
        <w:rPr/>
        <w:t xml:space="preserve">Telecom web-hosting facilities. </w:t>
      </w:r>
    </w:p>
    <w:p>
      <w:pPr>
        <w:pStyle w:val="List2"/>
        <w:pBdr/>
        <w:spacing/>
        <w:rPr/>
      </w:pPr>
      <w:r>
        <w:rPr/>
        <w:t xml:space="preserve">(c)</w:t>
      </w:r>
      <w:r>
        <w:rPr/>
        <w:tab/>
        <w:t xml:space="preserve"/>
      </w:r>
      <w:r>
        <w:rPr/>
        <w:t xml:space="preserve">Self-storage facility (interior storage unit access) subject to the provisions of </w:t>
      </w:r>
      <w:r>
        <w:rPr/>
        <w:t xml:space="preserve">section 28-1310</w:t>
      </w:r>
      <w:r>
        <w:rPr/>
        <w:t xml:space="preserve">. </w:t>
      </w:r>
    </w:p>
    <w:p>
      <w:pPr>
        <w:pStyle w:val="HistoryNote"/>
        <w:pBdr/>
        <w:spacing/>
        <w:rPr/>
      </w:pPr>
      <w:r>
        <w:rPr>
          <w:rStyle w:val="HistoryNote"/>
        </w:rPr>
        <w:t xml:space="preserve">(Ord. No. 2995, § 1, 7-28-81; Ord. No. 3050, § 1, 12-8-81; Ord. No. 3253, § 2, 11-8-83; Ord. No. 3705, § 21, 7-26-88; Ord. No. 4323, § 24, 5-1-97; Ord. No. 4573, § 10, 4-10-01; Ord. No. 5369, § 7, 5-23-17)</w:t>
      </w:r>
    </w:p>
    <w:p>
      <w:pPr>
        <w:pBdr/>
        <w:spacing w:before="0" w:after="0"/>
        <w:rPr/>
        <w:sectPr>
          <w:headerReference w:type="default" r:id="rId7"/>
          <w:footerReference w:type="default" r:id="rId8"/>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28-1044.</w:t>
      </w:r>
      <w:r>
        <w:rPr/>
        <w:t xml:space="preserve"> </w:t>
      </w:r>
      <w:r>
        <w:rPr/>
        <w:t xml:space="preserve">Required plot areas.</w:t>
      </w:r>
    </w:p>
    <w:p>
      <w:pPr>
        <w:pStyle w:val="Paragraph1"/>
        <w:pBdr/>
        <w:spacing/>
        <w:rPr/>
      </w:pPr>
      <w:r>
        <w:rPr>
          <w:rStyle w:val="Paragraph1"/>
        </w:rPr>
        <w:t xml:space="preserve">Each plot in the IG/S1 district is required to have an area of not less than 10,000 square feet. </w:t>
      </w:r>
    </w:p>
    <w:p>
      <w:pPr>
        <w:pStyle w:val="HistoryNote"/>
        <w:pBdr/>
        <w:spacing/>
        <w:rPr/>
      </w:pPr>
      <w:r>
        <w:rPr>
          <w:rStyle w:val="HistoryNote"/>
        </w:rPr>
        <w:t xml:space="preserve">(Ord. No. 2995, § 1, 7-28-81; Ord. No. 3050, § 1, 12-8-81; Ord. No. 3253, § 2, 11-8-83; Ord. No. 3705, § 21, 7-26-88)</w:t>
      </w:r>
    </w:p>
    <w:p>
      <w:pPr>
        <w:pBdr/>
        <w:spacing w:before="0" w:after="0"/>
        <w:rPr/>
        <w:sectPr>
          <w:headerReference w:type="default" r:id="rId9"/>
          <w:footerReference w:type="default" r:id="rId10"/>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28-1045.</w:t>
      </w:r>
      <w:r>
        <w:rPr/>
        <w:t xml:space="preserve"> </w:t>
      </w:r>
      <w:r>
        <w:rPr/>
        <w:t xml:space="preserve">Limited access.</w:t>
      </w:r>
    </w:p>
    <w:p>
      <w:pPr>
        <w:pStyle w:val="Paragraph1"/>
        <w:pBdr/>
        <w:spacing/>
        <w:rPr/>
      </w:pPr>
      <w:r>
        <w:rPr>
          <w:rStyle w:val="Paragraph1"/>
        </w:rPr>
        <w:t xml:space="preserve">Access to property in the IG/S1 district shall be limited to certain streets and thoroughfares, as is necessary to limit traffic generation in areas adjacent to major thoroughfares and residential areas. </w:t>
      </w:r>
    </w:p>
    <w:p>
      <w:pPr>
        <w:pStyle w:val="HistoryNote"/>
        <w:pBdr/>
        <w:spacing/>
        <w:rPr/>
      </w:pPr>
      <w:r>
        <w:rPr>
          <w:rStyle w:val="HistoryNote"/>
        </w:rPr>
        <w:t xml:space="preserve">(Ord. No. 2995, § 1, 7-28-81; Ord. No. 3050, § 1, 12-8-81; Ord. No. 3253, § 2, 11-8-83; Ord. No. 3705, § 21, 7-26-88)</w:t>
      </w:r>
    </w:p>
    <w:p>
      <w:pPr>
        <w:pBdr/>
        <w:spacing w:before="0" w:after="0"/>
        <w:rPr/>
        <w:sectPr>
          <w:headerReference w:type="default" r:id="rId11"/>
          <w:footerReference w:type="default" r:id="rId12"/>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28-1046.</w:t>
      </w:r>
      <w:r>
        <w:rPr/>
        <w:t xml:space="preserve"> </w:t>
      </w:r>
      <w:r>
        <w:rPr/>
        <w:t xml:space="preserve">Service drive.</w:t>
      </w:r>
    </w:p>
    <w:p>
      <w:pPr>
        <w:pStyle w:val="Paragraph1"/>
        <w:pBdr/>
        <w:spacing/>
        <w:rPr/>
      </w:pPr>
      <w:r>
        <w:rPr>
          <w:rStyle w:val="Paragraph1"/>
        </w:rPr>
        <w:t xml:space="preserve">Each plot in an IG/S1 district is required to have a paved service drive which shall link with adjacent plots in order to provide continuous service access from district access street to district access street. </w:t>
      </w:r>
    </w:p>
    <w:p>
      <w:pPr>
        <w:pStyle w:val="HistoryNote"/>
        <w:pBdr/>
        <w:spacing/>
        <w:rPr/>
      </w:pPr>
      <w:r>
        <w:rPr>
          <w:rStyle w:val="HistoryNote"/>
        </w:rPr>
        <w:t xml:space="preserve">(Ord. No. 2995, § 1, 7-28-81; Ord. No. 3050, § 1, 12-8-81; Ord. No. 3253, § 2, 11-8-83; Ord. No. 3705, § 21, 7-26-88)</w:t>
      </w:r>
    </w:p>
    <w:p>
      <w:pPr>
        <w:pBdr/>
        <w:spacing w:before="0" w:after="0"/>
        <w:rPr/>
        <w:sectPr>
          <w:headerReference w:type="default" r:id="rId13"/>
          <w:footerReference w:type="default" r:id="rId14"/>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28-1047.</w:t>
      </w:r>
      <w:r>
        <w:rPr/>
        <w:t xml:space="preserve"> </w:t>
      </w:r>
      <w:r>
        <w:rPr/>
        <w:t xml:space="preserve">Yards.</w:t>
      </w:r>
    </w:p>
    <w:p>
      <w:pPr>
        <w:pStyle w:val="List1"/>
        <w:pBdr/>
        <w:spacing/>
        <w:rPr/>
      </w:pPr>
      <w:r>
        <w:rPr/>
        <w:t xml:space="preserve">(1)</w:t>
      </w:r>
      <w:r>
        <w:rPr/>
        <w:tab/>
        <w:t xml:space="preserve"/>
      </w:r>
      <w:r>
        <w:rPr/>
        <w:t xml:space="preserve">Front yards. </w:t>
      </w:r>
    </w:p>
    <w:p>
      <w:pPr>
        <w:pStyle w:val="List2"/>
        <w:pBdr/>
        <w:spacing/>
        <w:rPr/>
      </w:pPr>
      <w:r>
        <w:rPr/>
        <w:t xml:space="preserve">(a)</w:t>
      </w:r>
      <w:r>
        <w:rPr/>
        <w:tab/>
        <w:t xml:space="preserve"/>
      </w:r>
      <w:r>
        <w:rPr/>
        <w:t xml:space="preserve">Each plot in an IG/S1 district is required to have a minimum front landscaped yard of 15 feet abutting the street to which it is adjacent. These provisions shall prevail over </w:t>
      </w:r>
      <w:r>
        <w:rPr/>
        <w:t xml:space="preserve">section 28-304</w:t>
      </w:r>
      <w:r>
        <w:rPr/>
        <w:t xml:space="preserve">. </w:t>
      </w:r>
    </w:p>
    <w:p>
      <w:pPr>
        <w:pStyle w:val="List2"/>
        <w:pBdr/>
        <w:spacing/>
        <w:rPr/>
      </w:pPr>
      <w:r>
        <w:rPr/>
        <w:t xml:space="preserve">(b)</w:t>
      </w:r>
      <w:r>
        <w:rPr/>
        <w:tab/>
        <w:t xml:space="preserve"/>
      </w:r>
      <w:r>
        <w:rPr/>
        <w:t xml:space="preserve">Structures, equipment, parking, paths or driveways are not permitted in the front landscaped yard. </w:t>
      </w:r>
    </w:p>
    <w:p>
      <w:pPr>
        <w:pStyle w:val="List1"/>
        <w:pBdr/>
        <w:spacing/>
        <w:rPr/>
      </w:pPr>
      <w:r>
        <w:rPr/>
        <w:t xml:space="preserve">(2)</w:t>
      </w:r>
      <w:r>
        <w:rPr/>
        <w:tab/>
        <w:t xml:space="preserve"/>
      </w:r>
      <w:r>
        <w:rPr/>
        <w:t xml:space="preserve">Side yards. No side yards are required, except as may be required by the fire-rescue services department, but not to exceed 5 feet. </w:t>
      </w:r>
    </w:p>
    <w:p>
      <w:pPr>
        <w:pStyle w:val="List1"/>
        <w:pBdr/>
        <w:spacing/>
        <w:rPr/>
      </w:pPr>
      <w:r>
        <w:rPr/>
        <w:t xml:space="preserve">(3)</w:t>
      </w:r>
      <w:r>
        <w:rPr/>
        <w:tab/>
        <w:t xml:space="preserve"/>
      </w:r>
      <w:r>
        <w:rPr/>
        <w:t xml:space="preserve">Rear yards. No rear yards are required. </w:t>
      </w:r>
    </w:p>
    <w:p>
      <w:pPr>
        <w:pStyle w:val="HistoryNote"/>
        <w:pBdr/>
        <w:spacing/>
        <w:rPr/>
      </w:pPr>
      <w:r>
        <w:rPr>
          <w:rStyle w:val="HistoryNote"/>
        </w:rPr>
        <w:t xml:space="preserve">(Ord. No. 2995, § 1, 7-28-81; Ord. No. 3050, § 1, 12-8-81; Ord. No. 3253, § 2, 11-8-83; Ord. No. 3705, § 21, 7-26-88; Ord. No. 4170, § 30, 9-27-94; Ord. No. 5706, § 39, 10-22-24)</w:t>
      </w:r>
    </w:p>
    <w:p>
      <w:pPr>
        <w:pBdr/>
        <w:spacing w:before="0" w:after="0"/>
        <w:rPr/>
        <w:sectPr>
          <w:headerReference w:type="default" r:id="rId15"/>
          <w:footerReference w:type="default" r:id="rId16"/>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28-1048.</w:t>
      </w:r>
      <w:r>
        <w:rPr/>
        <w:t xml:space="preserve"> </w:t>
      </w:r>
      <w:r>
        <w:rPr/>
        <w:t xml:space="preserve">Building height.</w:t>
      </w:r>
    </w:p>
    <w:p>
      <w:pPr>
        <w:pStyle w:val="Paragraph1"/>
        <w:pBdr/>
        <w:spacing/>
        <w:rPr/>
      </w:pPr>
      <w:r>
        <w:rPr>
          <w:rStyle w:val="Paragraph1"/>
        </w:rPr>
        <w:t xml:space="preserve">A building or structure, or part thereof, erected or altered in the IG/S1 district shall be limited to a height not exceeding 20 feet. </w:t>
      </w:r>
    </w:p>
    <w:p>
      <w:pPr>
        <w:pStyle w:val="HistoryNote"/>
        <w:pBdr/>
        <w:spacing/>
        <w:rPr/>
      </w:pPr>
      <w:r>
        <w:rPr>
          <w:rStyle w:val="HistoryNote"/>
        </w:rPr>
        <w:t xml:space="preserve">(Ord. No. 2995, § 1, 7-28-81; Ord. No. 3050, § 1, 12-8-81; Ord. No. 3253, § 2, 11-8-83; Ord. No. 3705, § 21, 7-26-88)</w:t>
      </w:r>
    </w:p>
    <w:p>
      <w:pPr>
        <w:pBdr/>
        <w:spacing w:before="0" w:after="0"/>
        <w:rPr/>
        <w:sectPr>
          <w:headerReference w:type="default" r:id="rId17"/>
          <w:footerReference w:type="default" r:id="rId18"/>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28-1049.</w:t>
      </w:r>
      <w:r>
        <w:rPr/>
        <w:t xml:space="preserve"> </w:t>
      </w:r>
      <w:r>
        <w:rPr/>
        <w:t xml:space="preserve">Nonaccess openings, windows.</w:t>
      </w:r>
    </w:p>
    <w:p>
      <w:pPr>
        <w:pStyle w:val="Paragraph1"/>
        <w:pBdr/>
        <w:spacing/>
        <w:rPr/>
      </w:pPr>
      <w:r>
        <w:rPr>
          <w:rStyle w:val="Paragraph1"/>
        </w:rPr>
        <w:t xml:space="preserve">Nonaccess openings and windows shall be allowed in IG/S1 districts on building façades facing residential areas only if adequately screened or covered, as determined by the city manager or designee, except for emergency egress as may be required by the fire-rescue services department. Maintenance accesses to landscaped areas are permitted from buildings facing residential areas. </w:t>
      </w:r>
    </w:p>
    <w:p>
      <w:pPr>
        <w:pStyle w:val="HistoryNote"/>
        <w:pBdr/>
        <w:spacing/>
        <w:rPr/>
      </w:pPr>
      <w:r>
        <w:rPr>
          <w:rStyle w:val="HistoryNote"/>
        </w:rPr>
        <w:t xml:space="preserve">(Ord. No. 2995, § 1, 7-28-81; Ord. No. 3050, § 1, 12-8-81; Ord. No. 3253, § 2, 11-8-83; Ord. No. 3705, § 21, 7-26-88; Ord. No. 4170, § 30, 9-27-94; Ord. No. 5706, § 40, 10-22-24)</w:t>
      </w:r>
    </w:p>
    <w:p>
      <w:pPr>
        <w:pBdr/>
        <w:spacing w:before="0" w:after="0"/>
        <w:rPr/>
        <w:sectPr>
          <w:headerReference w:type="default" r:id="rId19"/>
          <w:footerReference w:type="default" r:id="rId20"/>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28-1050.</w:t>
      </w:r>
      <w:r>
        <w:rPr/>
        <w:t xml:space="preserve"> </w:t>
      </w:r>
      <w:r>
        <w:rPr/>
        <w:t xml:space="preserve">Walls.</w:t>
      </w:r>
    </w:p>
    <w:p>
      <w:pPr>
        <w:pStyle w:val="Paragraph1"/>
        <w:pBdr/>
        <w:spacing/>
        <w:rPr/>
      </w:pPr>
      <w:r>
        <w:rPr>
          <w:rStyle w:val="Paragraph1"/>
        </w:rPr>
        <w:t xml:space="preserve">Each plot in an IG/S1 district is required to have a wall facing the residential area along the building setback line, unless a structure is constructed at the setback line. Walls shall be a minimum of 7 feet in height and will be required to link building façades on major thoroughfares, or shall be provided to screen outdoor storage from major thoroughfares. Maintenance accesses to landscaped areas are permitted from walls facing residential areas. </w:t>
      </w:r>
    </w:p>
    <w:p>
      <w:pPr>
        <w:pStyle w:val="HistoryNote"/>
        <w:pBdr/>
        <w:spacing/>
        <w:rPr/>
      </w:pPr>
      <w:r>
        <w:rPr>
          <w:rStyle w:val="HistoryNote"/>
        </w:rPr>
        <w:t xml:space="preserve">(Ord. No. 2995, § 1, 7-28-81; Ord. No. 3050, § 1, 12-8-81; Ord. No. 3253, § 2, 11-8-83; Ord. No. 3705, § 21, 7-26-88)</w:t>
      </w:r>
    </w:p>
    <w:p>
      <w:pPr>
        <w:pBdr/>
        <w:spacing w:before="0" w:after="0"/>
        <w:rPr/>
        <w:sectPr>
          <w:headerReference w:type="default" r:id="rId21"/>
          <w:footerReference w:type="default" r:id="rId22"/>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28-1051.</w:t>
      </w:r>
      <w:r>
        <w:rPr/>
        <w:t xml:space="preserve"> </w:t>
      </w:r>
      <w:r>
        <w:rPr/>
        <w:t xml:space="preserve">Signs.</w:t>
      </w:r>
    </w:p>
    <w:p>
      <w:pPr>
        <w:pStyle w:val="Paragraph1"/>
        <w:pBdr/>
        <w:spacing/>
        <w:rPr/>
      </w:pPr>
      <w:r>
        <w:rPr>
          <w:rStyle w:val="Paragraph1"/>
        </w:rPr>
        <w:t xml:space="preserve">For provisions regulating signs in IG/S1 districts, see </w:t>
      </w:r>
      <w:r>
        <w:rPr/>
        <w:t xml:space="preserve">chapter 24</w:t>
      </w:r>
      <w:r>
        <w:rPr>
          <w:rStyle w:val="Paragraph1"/>
        </w:rPr>
        <w:t xml:space="preserve">. </w:t>
      </w:r>
    </w:p>
    <w:p>
      <w:pPr>
        <w:pStyle w:val="HistoryNote"/>
        <w:pBdr/>
        <w:spacing/>
        <w:rPr/>
      </w:pPr>
      <w:r>
        <w:rPr>
          <w:rStyle w:val="HistoryNote"/>
        </w:rPr>
        <w:t xml:space="preserve">(Ord. No. 2995, § 1, 7-28-81; Ord. No. 3050, § 1, 12-8-81; Ord. No. 3253, § 2, 11-8-83; Ord. No. 3705, § 21, 7-26-88)</w:t>
      </w:r>
    </w:p>
    <w:p>
      <w:pPr>
        <w:pBdr/>
        <w:spacing w:before="0" w:after="0"/>
        <w:rPr/>
        <w:sectPr>
          <w:headerReference w:type="default" r:id="rId23"/>
          <w:footerReference w:type="default" r:id="rId24"/>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28-1052.</w:t>
      </w:r>
      <w:r>
        <w:rPr/>
        <w:t xml:space="preserve"> </w:t>
      </w:r>
      <w:r>
        <w:rPr/>
        <w:t xml:space="preserve">Landscaping.</w:t>
      </w:r>
    </w:p>
    <w:p>
      <w:pPr>
        <w:pStyle w:val="Paragraph1"/>
        <w:pBdr/>
        <w:spacing/>
        <w:rPr/>
      </w:pPr>
      <w:r>
        <w:rPr>
          <w:rStyle w:val="Paragraph1"/>
        </w:rPr>
        <w:t xml:space="preserve">Landscaping in IG/S1 districts shall include planting and maintaining natural vegetation, ground cover, hedges and trees, to be so arranged and maintained as to provide an effectively solid mass of foliage varying in height and providing a continuous screen to the development, but so as not to obscure the sight distance of vehicular traffic. </w:t>
      </w:r>
    </w:p>
    <w:p>
      <w:pPr>
        <w:pStyle w:val="HistoryNote"/>
        <w:pBdr/>
        <w:spacing/>
        <w:rPr/>
      </w:pPr>
      <w:r>
        <w:rPr>
          <w:rStyle w:val="HistoryNote"/>
        </w:rPr>
        <w:t xml:space="preserve">(Ord. No. 2995, § 1, 7-28-81; Ord. No. 3050, § 1, 12-8-81; Ord. No. 3253, § 2, 11-8-83; Ord. No. 3705, § 21, 7-26-88)</w:t>
      </w:r>
    </w:p>
    <w:p>
      <w:pPr>
        <w:pBdr/>
        <w:spacing w:before="0" w:after="0"/>
        <w:rPr/>
        <w:sectPr>
          <w:headerReference w:type="default" r:id="rId25"/>
          <w:footerReference w:type="default" r:id="rId26"/>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28-1053.</w:t>
      </w:r>
      <w:r>
        <w:rPr/>
        <w:t xml:space="preserve"> </w:t>
      </w:r>
      <w:r>
        <w:rPr/>
        <w:t xml:space="preserve">Performance standards.</w:t>
      </w:r>
    </w:p>
    <w:p>
      <w:pPr>
        <w:pStyle w:val="Paragraph1"/>
        <w:pBdr/>
        <w:spacing/>
        <w:rPr/>
      </w:pPr>
      <w:r>
        <w:rPr>
          <w:rStyle w:val="Paragraph1"/>
        </w:rPr>
        <w:t xml:space="preserve">In order to encourage innovations in the development of the IG/S1 district with a greater variety in type, design and layout of buildings; to provide greater protection for and enhancement of adjoining residential areas; and to encourage development that exceeds the minimum standards of these regulations, the planning and zoning board may approve modifications from these regulations as provided below: </w:t>
      </w:r>
    </w:p>
    <w:p>
      <w:pPr>
        <w:pStyle w:val="List2"/>
        <w:pBdr/>
        <w:spacing/>
        <w:rPr/>
      </w:pPr>
      <w:r>
        <w:rPr/>
        <w:t xml:space="preserve">(a)</w:t>
      </w:r>
      <w:r>
        <w:rPr/>
        <w:tab/>
        <w:t xml:space="preserve"/>
      </w:r>
      <w:r>
        <w:rPr/>
        <w:t xml:space="preserve">Procedure. Modifications from these regulations may be approved by the planning and zoning board in conjunction with site plan approval pursuant to </w:t>
      </w:r>
      <w:r>
        <w:rPr/>
        <w:t xml:space="preserve">section 28-51</w:t>
      </w:r>
      <w:r>
        <w:rPr/>
        <w:t xml:space="preserve"> et seq. Modifications may be approved only upon the determination of the board that 1 or more of the performance standards set forth in (b) below have been achieved by the applicant and the design is such that the development shall enhance any adjoining residential areas to a greater extent than the minimum standards of the district. Modifications may be approved only in the areas of development set forth in (c) below. The board in approving such modifications may prescribe reasonable and necessary conditions to ensure the continued maintenance of the performance standards. </w:t>
      </w:r>
    </w:p>
    <w:p>
      <w:pPr>
        <w:pStyle w:val="List2"/>
        <w:pBdr/>
        <w:spacing/>
        <w:rPr/>
      </w:pPr>
      <w:r>
        <w:rPr/>
        <w:t xml:space="preserve">(b)</w:t>
      </w:r>
      <w:r>
        <w:rPr/>
        <w:tab/>
        <w:t xml:space="preserve"/>
      </w:r>
      <w:r>
        <w:rPr/>
        <w:t xml:space="preserve">Standards. The performance standards are: </w:t>
      </w:r>
    </w:p>
    <w:p>
      <w:pPr>
        <w:pStyle w:val="List3"/>
        <w:pBdr/>
        <w:spacing/>
        <w:rPr/>
      </w:pPr>
      <w:r>
        <w:rPr/>
        <w:t xml:space="preserve">1.</w:t>
      </w:r>
      <w:r>
        <w:rPr/>
        <w:tab/>
        <w:t xml:space="preserve"/>
      </w:r>
      <w:r>
        <w:rPr/>
        <w:t xml:space="preserve">Building façade, roof design or required wall design adopting a residential appearance or character. </w:t>
      </w:r>
    </w:p>
    <w:p>
      <w:pPr>
        <w:pStyle w:val="List3"/>
        <w:pBdr/>
        <w:spacing/>
        <w:rPr/>
      </w:pPr>
      <w:r>
        <w:rPr/>
        <w:t xml:space="preserve">2.</w:t>
      </w:r>
      <w:r>
        <w:rPr/>
        <w:tab/>
        <w:t xml:space="preserve"/>
      </w:r>
      <w:r>
        <w:rPr/>
        <w:t xml:space="preserve">Median landscaping or avenue planting, including irrigation when necessary, and subject to the approval of the public agency having authority over the right-of-way. </w:t>
      </w:r>
      <w:r>
        <w:rPr/>
        <w:br/>
      </w:r>
    </w:p>
    <w:p>
      <w:pPr>
        <w:pStyle w:val="List3"/>
        <w:pBdr/>
        <w:spacing/>
        <w:rPr/>
      </w:pPr>
      <w:r>
        <w:rPr/>
        <w:t xml:space="preserve">3.</w:t>
      </w:r>
      <w:r>
        <w:rPr/>
        <w:tab/>
        <w:t xml:space="preserve"/>
      </w:r>
      <w:r>
        <w:rPr/>
        <w:t xml:space="preserve">On-site landscaping enhanced with a greater variety of plant types and material or with greater buffering effects than otherwise prescribed in these regulations. </w:t>
      </w:r>
    </w:p>
    <w:p>
      <w:pPr>
        <w:pStyle w:val="List3"/>
        <w:pBdr/>
        <w:spacing/>
        <w:rPr/>
      </w:pPr>
      <w:r>
        <w:rPr/>
        <w:t xml:space="preserve">4.</w:t>
      </w:r>
      <w:r>
        <w:rPr/>
        <w:tab/>
        <w:t xml:space="preserve"/>
      </w:r>
      <w:r>
        <w:rPr/>
        <w:t xml:space="preserve">Swale and sidewalk design or landscaping which limits or prevents vehicular parking or stopping on major thoroughfares. </w:t>
      </w:r>
    </w:p>
    <w:p>
      <w:pPr>
        <w:pStyle w:val="List3"/>
        <w:pBdr/>
        <w:spacing/>
        <w:rPr/>
      </w:pPr>
      <w:r>
        <w:rPr/>
        <w:t xml:space="preserve">5.</w:t>
      </w:r>
      <w:r>
        <w:rPr/>
        <w:tab/>
        <w:t xml:space="preserve"/>
      </w:r>
      <w:r>
        <w:rPr/>
        <w:t xml:space="preserve">A limitation on the number of bays or units into which a building may be divided. </w:t>
      </w:r>
    </w:p>
    <w:p>
      <w:pPr>
        <w:pStyle w:val="List2"/>
        <w:pBdr/>
        <w:spacing/>
        <w:rPr/>
      </w:pPr>
      <w:r>
        <w:rPr/>
        <w:t xml:space="preserve">(c)</w:t>
      </w:r>
      <w:r>
        <w:rPr/>
        <w:tab/>
        <w:t xml:space="preserve"/>
      </w:r>
      <w:r>
        <w:rPr/>
        <w:t xml:space="preserve">Scope of modification. Modifications may be granted only in the following areas: </w:t>
      </w:r>
    </w:p>
    <w:p>
      <w:pPr>
        <w:pStyle w:val="List3"/>
        <w:pBdr/>
        <w:spacing/>
        <w:rPr/>
      </w:pPr>
      <w:r>
        <w:rPr/>
        <w:t xml:space="preserve">1.</w:t>
      </w:r>
      <w:r>
        <w:rPr/>
        <w:tab/>
        <w:t xml:space="preserve"/>
      </w:r>
      <w:r>
        <w:rPr/>
        <w:t xml:space="preserve">Pedestrian access may be permitted on building façades facing residential areas. Direct access from major thoroughfares is prohibited. </w:t>
      </w:r>
    </w:p>
    <w:p>
      <w:pPr>
        <w:pStyle w:val="List3"/>
        <w:pBdr/>
        <w:spacing/>
        <w:rPr/>
      </w:pPr>
      <w:r>
        <w:rPr/>
        <w:t xml:space="preserve">2.</w:t>
      </w:r>
      <w:r>
        <w:rPr/>
        <w:tab/>
        <w:t xml:space="preserve"/>
      </w:r>
      <w:r>
        <w:rPr/>
        <w:t xml:space="preserve">Doors and windows may be permitted on building façades facing residential areas. </w:t>
      </w:r>
    </w:p>
    <w:p>
      <w:pPr>
        <w:pStyle w:val="List3"/>
        <w:pBdr/>
        <w:spacing/>
        <w:rPr/>
      </w:pPr>
      <w:r>
        <w:rPr/>
        <w:t xml:space="preserve">3.</w:t>
      </w:r>
      <w:r>
        <w:rPr/>
        <w:tab/>
        <w:t xml:space="preserve"/>
      </w:r>
      <w:r>
        <w:rPr/>
        <w:t xml:space="preserve">Sidewalks and screening walls may be permitted in landscaped yards if incorporated in and a part of the landscaping plan. </w:t>
      </w:r>
    </w:p>
    <w:p>
      <w:pPr>
        <w:pStyle w:val="List3"/>
        <w:pBdr/>
        <w:spacing/>
        <w:rPr/>
      </w:pPr>
      <w:r>
        <w:rPr/>
        <w:t xml:space="preserve">4.</w:t>
      </w:r>
      <w:r>
        <w:rPr/>
        <w:tab/>
        <w:t xml:space="preserve"/>
      </w:r>
      <w:r>
        <w:rPr/>
        <w:t xml:space="preserve">Required walls may be reduced in height; however, all parking and loading areas shall be totally screened from the streets and no pedestrian access may be provided from the streets. </w:t>
      </w:r>
    </w:p>
    <w:p>
      <w:pPr>
        <w:pStyle w:val="List3"/>
        <w:pBdr/>
        <w:spacing/>
        <w:rPr/>
      </w:pPr>
      <w:r>
        <w:rPr/>
        <w:t xml:space="preserve">5.</w:t>
      </w:r>
      <w:r>
        <w:rPr/>
        <w:tab/>
        <w:t xml:space="preserve"/>
      </w:r>
      <w:r>
        <w:rPr/>
        <w:t xml:space="preserve">The off-street loading requirements of </w:t>
      </w:r>
      <w:r>
        <w:rPr/>
        <w:t xml:space="preserve">section 28-1661</w:t>
      </w:r>
      <w:r>
        <w:rPr/>
        <w:t xml:space="preserve"> may be modified. </w:t>
      </w:r>
    </w:p>
    <w:p>
      <w:pPr>
        <w:pStyle w:val="List2"/>
        <w:pBdr/>
        <w:spacing/>
        <w:rPr/>
      </w:pPr>
      <w:r>
        <w:rPr/>
        <w:t xml:space="preserve">(d)</w:t>
      </w:r>
      <w:r>
        <w:rPr/>
        <w:tab/>
        <w:t xml:space="preserve"/>
      </w:r>
      <w:r>
        <w:rPr/>
        <w:t xml:space="preserve">Uses. In conjunction with the approval described in this section, an applicant may request approval of 1 or more proposed uses described in </w:t>
      </w:r>
      <w:r>
        <w:rPr/>
        <w:t xml:space="preserve">section 28-1042</w:t>
      </w:r>
      <w:r>
        <w:rPr/>
        <w:t xml:space="preserve">(j). Where the approval of such uses is requested, the required public hearing shall be held concurrently with the hearing required for site plan approval by </w:t>
      </w:r>
      <w:r>
        <w:rPr/>
        <w:t xml:space="preserve">section 28-51</w:t>
      </w:r>
      <w:r>
        <w:rPr/>
        <w:t xml:space="preserve"> et seq. </w:t>
      </w:r>
    </w:p>
    <w:p>
      <w:pPr>
        <w:pStyle w:val="HistoryNote"/>
        <w:pBdr/>
        <w:spacing/>
        <w:rPr/>
      </w:pPr>
      <w:r>
        <w:rPr>
          <w:rStyle w:val="HistoryNote"/>
        </w:rPr>
        <w:t xml:space="preserve">(Ord. No. 2995, § 1, 7-28-81; Ord. No. 3050, § 1, 12-8-81; Ord. No. 3253, § 2, 11-8-83; Ord. No. 3705, § 21, 7-26-88)</w:t>
      </w:r>
    </w:p>
    <w:p>
      <w:pPr>
        <w:pBdr/>
        <w:spacing w:before="0" w:after="0"/>
        <w:rPr/>
        <w:sectPr>
          <w:headerReference w:type="default" r:id="rId27"/>
          <w:footerReference w:type="default" r:id="rId28"/>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Secs. 28-1054—28-1070.</w:t>
      </w:r>
      <w:r>
        <w:rPr/>
        <w:t xml:space="preserve"> </w:t>
      </w:r>
      <w:r>
        <w:rPr/>
        <w:t xml:space="preserve">Reserved.</w:t>
      </w:r>
    </w:p>
    <w:p>
      <w:pPr>
        <w:pBdr/>
        <w:spacing w:before="0" w:after="0"/>
        <w:rPr/>
      </w:pPr>
    </w:p>
    <w:sectPr>
      <w:headerReference w:type="default" r:id="rId29"/>
      <w:footerReference w:type="default" r:id="rId30"/>
      <w:type w:val="continuous"/>
      <w:pgSz w:w="12240" w:h="15840"/>
      <w:pgMar w:top="1440" w:right="1440" w:bottom="1440" w:left="1440" w:header="720" w:footer="720" w:gutter="0"/>
      <w:pgBorders/>
      <w:pgNumType w:fmt="decimal"/>
      <w:cols w:equalWidth="1" w:space="720"/>
    </w:sectPr>
  </w:body>
</w:document>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 xml:space="preserve">Boca Raton, Florida, Code of Ordinances</w:t>
    </w:r>
    <w:r>
      <w:rPr/>
      <w:tab/>
      <w:t xml:space="preserve"/>
    </w:r>
    <w:r>
      <w:rPr>
        <w:rFonts w:ascii="Consolas" w:hAnsi="Consolas" w:eastAsia="Consolas" w:cs="Consolas"/>
        <w:sz w:val="12"/>
      </w:rPr>
      <w:t xml:space="preserve">   Created: 2026-05-12 13:20:32 [EST]</w:t>
    </w:r>
  </w:p>
  <w:p>
    <w:pPr>
      <w:pStyle w:val="FooterLeft"/>
      <w:pBdr/>
      <w:spacing/>
      <w:rPr/>
    </w:pPr>
    <w:r>
      <w:rPr/>
      <w:t xml:space="preserve">(Supp. No. 72, Update 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4.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2026-05-12 13:20:32 [EST]</w:t>
    </w:r>
  </w:p>
  <w:p>
    <w:pPr>
      <w:pStyle w:val="FooterLeft"/>
      <w:pBdr/>
      <w:spacing/>
      <w:rPr/>
    </w:pPr>
    <w:r>
      <w:rPr/>
      <w:t xml:space="preserve">(Supp. No. 72, Update 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6.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2026-05-12 13:20:32 [EST]</w:t>
    </w:r>
  </w:p>
  <w:p>
    <w:pPr>
      <w:pStyle w:val="FooterLeft"/>
      <w:pBdr/>
      <w:spacing/>
      <w:rPr/>
    </w:pPr>
    <w:r>
      <w:rPr/>
      <w:t xml:space="preserve">(Supp. No. 72, Update 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8.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2026-05-12 13:20:32 [EST]</w:t>
    </w:r>
  </w:p>
  <w:p>
    <w:pPr>
      <w:pStyle w:val="FooterLeft"/>
      <w:pBdr/>
      <w:spacing/>
      <w:rPr/>
    </w:pPr>
    <w:r>
      <w:rPr/>
      <w:t xml:space="preserve">(Supp. No. 72, Update 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10.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2026-05-12 13:20:32 [EST]</w:t>
    </w:r>
  </w:p>
  <w:p>
    <w:pPr>
      <w:pStyle w:val="FooterLeft"/>
      <w:pBdr/>
      <w:spacing/>
      <w:rPr/>
    </w:pPr>
    <w:r>
      <w:rPr/>
      <w:t xml:space="preserve">(Supp. No. 72, Update 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1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2026-05-12 13:20:32 [EST]</w:t>
    </w:r>
  </w:p>
  <w:p>
    <w:pPr>
      <w:pStyle w:val="FooterLeft"/>
      <w:pBdr/>
      <w:spacing/>
      <w:rPr/>
    </w:pPr>
    <w:r>
      <w:rPr/>
      <w:t xml:space="preserve">(Supp. No. 72, Update 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14.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2026-05-12 13:20:32 [EST]</w:t>
    </w:r>
  </w:p>
  <w:p>
    <w:pPr>
      <w:pStyle w:val="FooterLeft"/>
      <w:pBdr/>
      <w:spacing/>
      <w:rPr/>
    </w:pPr>
    <w:r>
      <w:rPr/>
      <w:t xml:space="preserve">(Supp. No. 72, Update 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16.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2026-05-12 13:20:32 [EST]</w:t>
    </w:r>
  </w:p>
  <w:p>
    <w:pPr>
      <w:pStyle w:val="FooterLeft"/>
      <w:pBdr/>
      <w:spacing/>
      <w:rPr/>
    </w:pPr>
    <w:r>
      <w:rPr/>
      <w:t xml:space="preserve">(Supp. No. 72, Update 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18.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2026-05-12 13:20:32 [EST]</w:t>
    </w:r>
  </w:p>
  <w:p>
    <w:pPr>
      <w:pStyle w:val="FooterLeft"/>
      <w:pBdr/>
      <w:spacing/>
      <w:rPr/>
    </w:pPr>
    <w:r>
      <w:rPr/>
      <w:t xml:space="preserve">(Supp. No. 72, Update 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20.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2026-05-12 13:20:32 [EST]</w:t>
    </w:r>
  </w:p>
  <w:p>
    <w:pPr>
      <w:pStyle w:val="FooterLeft"/>
      <w:pBdr/>
      <w:spacing/>
      <w:rPr/>
    </w:pPr>
    <w:r>
      <w:rPr/>
      <w:t xml:space="preserve">(Supp. No. 72, Update 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2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2026-05-12 13:20:32 [EST]</w:t>
    </w:r>
  </w:p>
  <w:p>
    <w:pPr>
      <w:pStyle w:val="FooterLeft"/>
      <w:pBdr/>
      <w:spacing/>
      <w:rPr/>
    </w:pPr>
    <w:r>
      <w:rPr/>
      <w:t xml:space="preserve">(Supp. No. 72, Update 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24.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2026-05-12 13:20:32 [EST]</w:t>
    </w:r>
  </w:p>
  <w:p>
    <w:pPr>
      <w:pStyle w:val="FooterLeft"/>
      <w:pBdr/>
      <w:spacing/>
      <w:rPr/>
    </w:pPr>
    <w:r>
      <w:rPr/>
      <w:t xml:space="preserve">(Supp. No. 72, Update 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26.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2026-05-12 13:20:32 [EST]</w:t>
    </w:r>
  </w:p>
  <w:p>
    <w:pPr>
      <w:pStyle w:val="FooterLeft"/>
      <w:pBdr/>
      <w:spacing/>
      <w:rPr/>
    </w:pPr>
    <w:r>
      <w:rPr/>
      <w:t xml:space="preserve">(Supp. No. 72, Update 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28.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2026-05-12 13:20:32 [EST]</w:t>
    </w:r>
  </w:p>
  <w:p>
    <w:pPr>
      <w:pStyle w:val="FooterLeft"/>
      <w:pBdr/>
      <w:spacing/>
      <w:rPr/>
    </w:pPr>
    <w:r>
      <w:rPr/>
      <w:t xml:space="preserve">(Supp. No. 72, Update 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30.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2026-05-12 13:20:32 [EST]</w:t>
    </w:r>
  </w:p>
  <w:p>
    <w:pPr>
      <w:pStyle w:val="FooterLeft"/>
      <w:pBdr/>
      <w:spacing/>
      <w:rPr/>
    </w:pPr>
    <w:r>
      <w:rPr/>
      <w:t xml:space="preserve">(Supp. No. 72, Update 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notes.xml><?xml version="1.0" encoding="utf-8"?>
<w:footnotes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http://schemas.openxmlformats.org/wordprocessingml/2006/main">
  <w:footnote w:type="separator" w:id="-1">
    <w:p>
      <w:pPr>
        <w:spacing/>
        <w:rPr/>
      </w:pPr>
      <w:r>
        <w:rPr/>
        <w:separator/>
        <w:t xml:space="preserve"/>
      </w:r>
    </w:p>
  </w:footnote>
  <w:footnote w:type="continuationSeparator" w:id="0">
    <w:p>
      <w:pPr>
        <w:spacing/>
        <w:rPr/>
      </w:pPr>
      <w:r>
        <w:rPr/>
        <w:continuationSeparator/>
        <w:t xml:space="preserve"/>
      </w:r>
    </w:p>
  </w:footnote>
  <w:footnote w:id="1">
    <w:p>
      <w:pPr>
        <w:pStyle w:val="Hang1"/>
        <w:pBdr/>
        <w:spacing/>
        <w:rPr/>
      </w:pPr>
      <w:r>
        <w:rPr>
          <w:rStyle w:val="FootnoteReference"/>
        </w:rPr>
        <w:footnoteRef/>
      </w:r>
      <w:r>
        <w:rPr/>
        <w:t xml:space="preserve">Cross reference(s)—</w:t>
      </w:r>
      <w:r>
        <w:rPr>
          <w:rStyle w:val="Hang1"/>
        </w:rPr>
        <w:t xml:space="preserve">Sign regulations in the industrial general-special district number 1, </w:t>
      </w:r>
      <w:r>
        <w:rPr/>
        <w:t xml:space="preserve">§ 24-98</w:t>
      </w:r>
      <w:r>
        <w:rPr>
          <w:rStyle w:val="Hang1"/>
        </w:rPr>
        <w:t xml:space="preserve">; district boundary line plots, </w:t>
      </w:r>
      <w:r>
        <w:rPr/>
        <w:t xml:space="preserve">§ 28-304</w:t>
      </w:r>
      <w:r>
        <w:rPr>
          <w:rStyle w:val="Hang1"/>
        </w:rPr>
        <w:t xml:space="preserve">; building intensity regulations, </w:t>
      </w:r>
      <w:r>
        <w:rPr/>
        <w:t xml:space="preserve">§ 28-307</w:t>
      </w:r>
      <w:r>
        <w:rPr>
          <w:rStyle w:val="Hang1"/>
        </w:rPr>
        <w:t xml:space="preserve">. </w:t>
      </w:r>
    </w:p>
  </w:footnote>
</w:footnotes>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r>
      <w:rPr/>
      <w:t xml:space="preserve">- VOLUME II</w:t>
    </w:r>
    <w:r>
      <w:rPr/>
      <w:br/>
    </w:r>
    <w:r>
      <w:rPr/>
      <w:t xml:space="preserve">Chapter 28 - ZONING</w:t>
    </w:r>
    <w:r>
      <w:rPr/>
      <w:br/>
    </w:r>
    <w:r>
      <w:rPr/>
      <w:t xml:space="preserve">ARTICLE XII. - INDUSTRIAL DISTRICTS</w:t>
    </w:r>
    <w:r>
      <w:rPr/>
      <w:br/>
    </w:r>
    <w:r>
      <w:rPr/>
      <w:t xml:space="preserve">DIVISION 5. IG/S1 INDUSTRIAL GENERAL-SPECIAL DISTRICT #1</w:t>
    </w:r>
    <w:r>
      <w:rPr/>
      <w:br/>
    </w:r>
  </w:p>
  <w:p>
    <w:pPr>
      <w:pStyle w:val="HeaderCenter"/>
      <w:pBdr>
        <w:top w:val="single" w:color="auto" w:sz="4" w:space="0"/>
      </w:pBdr>
      <w:spacing/>
      <w:rPr/>
    </w:pPr>
  </w:p>
</w:hdr>
</file>

<file path=word/header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5.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7.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9.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1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1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15.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17.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19.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2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2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25.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27.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29.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lvl w:ilvl="0">
      <w:start w:val="1"/>
      <w:numFmt w:val="bullet"/>
      <w:pStyle w:val="ListBullet"/>
      <w:suff w:val="tab"/>
      <w:lvlText w:val=""/>
      <w:pPr>
        <w:pBdr/>
        <w:tabs>
          <w:tab w:val="num" w:pos="360"/>
        </w:tabs>
        <w:spacing/>
        <w:ind w:left="36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1">
    <w:nsid w:val="FFFFFF88"/>
    <w:lvl w:ilvl="0">
      <w:start w:val="1"/>
      <w:numFmt w:val="decimal"/>
      <w:pStyle w:val="ListNumber"/>
      <w:suff w:val="tab"/>
      <w:lvlText w:val="%1."/>
      <w:pPr>
        <w:pBdr/>
        <w:tabs>
          <w:tab w:val="num" w:pos="360"/>
        </w:tabs>
        <w:spacing/>
        <w:ind w:left="36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2">
    <w:nsid w:val="FFFFFF83"/>
    <w:lvl w:ilvl="0">
      <w:start w:val="1"/>
      <w:numFmt w:val="bullet"/>
      <w:pStyle w:val="ListBullet2"/>
      <w:suff w:val="tab"/>
      <w:lvlText w:val=""/>
      <w:pPr>
        <w:pBdr/>
        <w:tabs>
          <w:tab w:val="num" w:pos="720"/>
        </w:tabs>
        <w:spacing/>
        <w:ind w:left="72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3">
    <w:nsid w:val="FFFFFF82"/>
    <w:lvl w:ilvl="0">
      <w:start w:val="1"/>
      <w:numFmt w:val="bullet"/>
      <w:pStyle w:val="ListBullet3"/>
      <w:suff w:val="tab"/>
      <w:lvlText w:val=""/>
      <w:pPr>
        <w:pBdr/>
        <w:tabs>
          <w:tab w:val="num" w:pos="1080"/>
        </w:tabs>
        <w:spacing/>
        <w:ind w:left="108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4">
    <w:nsid w:val="FFFFFF81"/>
    <w:lvl w:ilvl="0">
      <w:start w:val="1"/>
      <w:numFmt w:val="bullet"/>
      <w:pStyle w:val="ListBullet4"/>
      <w:suff w:val="tab"/>
      <w:lvlText w:val=""/>
      <w:pPr>
        <w:pBdr/>
        <w:tabs>
          <w:tab w:val="num" w:pos="1440"/>
        </w:tabs>
        <w:spacing/>
        <w:ind w:left="144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5">
    <w:nsid w:val="FFFFFF80"/>
    <w:lvl w:ilvl="0">
      <w:start w:val="1"/>
      <w:numFmt w:val="bullet"/>
      <w:pStyle w:val="ListBullet5"/>
      <w:suff w:val="tab"/>
      <w:lvlText w:val=""/>
      <w:pPr>
        <w:pBdr/>
        <w:tabs>
          <w:tab w:val="num" w:pos="1800"/>
        </w:tabs>
        <w:spacing/>
        <w:ind w:left="180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6">
    <w:nsid w:val="FFFFFF7F"/>
    <w:lvl w:ilvl="0">
      <w:start w:val="1"/>
      <w:numFmt w:val="decimal"/>
      <w:pStyle w:val="ListNumber2"/>
      <w:suff w:val="tab"/>
      <w:lvlText w:val="%1."/>
      <w:pPr>
        <w:pBdr/>
        <w:tabs>
          <w:tab w:val="num" w:pos="720"/>
        </w:tabs>
        <w:spacing/>
        <w:ind w:left="72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7">
    <w:nsid w:val="FFFFFF7E"/>
    <w:lvl w:ilvl="0">
      <w:start w:val="1"/>
      <w:numFmt w:val="decimal"/>
      <w:pStyle w:val="ListNumber3"/>
      <w:suff w:val="tab"/>
      <w:lvlText w:val="%1."/>
      <w:pPr>
        <w:pBdr/>
        <w:tabs>
          <w:tab w:val="num" w:pos="1080"/>
        </w:tabs>
        <w:spacing/>
        <w:ind w:left="108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8">
    <w:nsid w:val="FFFFFF7D"/>
    <w:lvl w:ilvl="0">
      <w:start w:val="1"/>
      <w:numFmt w:val="decimal"/>
      <w:pStyle w:val="ListNumber4"/>
      <w:suff w:val="tab"/>
      <w:lvlText w:val="%1."/>
      <w:pPr>
        <w:pBdr/>
        <w:tabs>
          <w:tab w:val="num" w:pos="1440"/>
        </w:tabs>
        <w:spacing/>
        <w:ind w:left="144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9">
    <w:nsid w:val="112261F1"/>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0">
    <w:nsid w:val="06308FDF"/>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1">
    <w:nsid w:val="1E08FAFF"/>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2">
    <w:nsid w:val="0BF39D8D"/>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3">
    <w:nsid w:val="6D958803"/>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4">
    <w:nsid w:val="245D74C8"/>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5">
    <w:nsid w:val="24527D36"/>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6">
    <w:nsid w:val="3F23EE9C"/>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7">
    <w:nsid w:val="6DF36CA4"/>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8">
    <w:nsid w:val="545E1EED"/>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9">
    <w:nsid w:val="1D65F8A7"/>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20">
    <w:nsid w:val="29F01780"/>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21">
    <w:nsid w:val="5D0D190B"/>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22">
    <w:nsid w:val="45115049"/>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23">
    <w:nsid w:val="2F3EEF39"/>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clrSchemeMappin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4"/>
        <w:szCs w:val="24"/>
        <w:lang w:val="en-US" w:eastAsia="en-US" w:bidi="ar-SA"/>
      </w:rPr>
    </w:rPrDefault>
    <w:pPrDefault>
      <w:pPr>
        <w:pBdr/>
        <w:spacing w:before="40" w:after="120"/>
        <w:jc w:val="both"/>
      </w:pPr>
    </w:pPrDefault>
  </w:docDefaults>
  <w:style w:type="paragraph" w:styleId="Normal" w:default="1">
    <w:name w:val="Normal"/>
    <w:semiHidden/>
    <w:qFormat/>
    <w:pPr>
      <w:pBdr/>
      <w:spacing/>
      <w:jc w:val="left"/>
    </w:pPr>
    <w:rPr>
      <w:rFonts w:ascii="Calibri" w:hAnsi="Calibri"/>
      <w:sz w:val="20"/>
    </w:rPr>
  </w:style>
  <w:style w:type="paragraph" w:styleId="Heading1">
    <w:name w:val="Heading 1"/>
    <w:basedOn w:val="Normal"/>
    <w:next w:val="Block1"/>
    <w:link w:val="Heading1Char"/>
    <w:uiPriority w:val="1"/>
    <w:qFormat/>
    <w:pPr>
      <w:keepNext/>
      <w:keepLines/>
      <w:pBdr/>
      <w:spacing w:before="120" w:after="240" w:line="276" w:lineRule="auto"/>
      <w:jc w:val="center"/>
      <w:outlineLvl w:val="0"/>
    </w:pPr>
    <w:rPr>
      <w:b/>
      <w:sz w:val="32"/>
      <w:szCs w:val="32"/>
    </w:rPr>
  </w:style>
  <w:style w:type="paragraph" w:styleId="Heading2">
    <w:name w:val="Heading 2"/>
    <w:basedOn w:val="Heading1"/>
    <w:next w:val="Block1"/>
    <w:link w:val="Heading2Char"/>
    <w:uiPriority w:val="1"/>
    <w:qFormat/>
    <w:pPr>
      <w:pBdr/>
      <w:spacing/>
      <w:outlineLvl w:val="1"/>
    </w:pPr>
    <w:rPr>
      <w:rFonts w:eastAsia="Times New Roman"/>
      <w:sz w:val="28"/>
    </w:rPr>
  </w:style>
  <w:style w:type="paragraph" w:styleId="Heading3">
    <w:name w:val="Heading 3"/>
    <w:basedOn w:val="Heading2"/>
    <w:next w:val="Block1"/>
    <w:link w:val="Heading3Char"/>
    <w:uiPriority w:val="1"/>
    <w:qFormat/>
    <w:pPr>
      <w:pBdr/>
      <w:spacing w:after="220"/>
      <w:outlineLvl w:val="2"/>
    </w:pPr>
    <w:rPr>
      <w:rFonts w:eastAsiaTheme="majorEastAsia" w:cstheme="majorBidi"/>
      <w:i/>
      <w:szCs w:val="24"/>
    </w:rPr>
  </w:style>
  <w:style w:type="paragraph" w:styleId="Heading4">
    <w:name w:val="Heading 4"/>
    <w:basedOn w:val="Heading3"/>
    <w:next w:val="Block1"/>
    <w:link w:val="Heading4Char"/>
    <w:uiPriority w:val="1"/>
    <w:qFormat/>
    <w:pPr>
      <w:pBdr/>
      <w:spacing w:after="200"/>
      <w:outlineLvl w:val="3"/>
    </w:pPr>
    <w:rPr>
      <w:b w:val="0"/>
      <w:iCs/>
    </w:rPr>
  </w:style>
  <w:style w:type="paragraph" w:styleId="Hang1" w:customStyle="1">
    <w:name w:val="Hang 1"/>
    <w:basedOn w:val="Normal"/>
    <w:uiPriority w:val="8"/>
    <w:qFormat/>
    <w:pPr>
      <w:pBdr/>
      <w:spacing/>
      <w:ind w:left="475" w:hanging="475"/>
    </w:pPr>
    <w:rPr/>
  </w:style>
  <w:style w:type="character" w:styleId="DefaultParagraphFont" w:default="1">
    <w:name w:val="Default Paragraph Font"/>
    <w:uiPriority w:val="1"/>
    <w:semiHidden/>
    <w:unhideWhenUsed/>
    <w:rPr/>
  </w:style>
  <w:style w:type="character" w:styleId="FootnoteReference">
    <w:name w:val="Footnote Reference"/>
    <w:basedOn w:val="DefaultParagraphFont"/>
    <w:uiPriority w:val="99"/>
    <w:semiHidden/>
    <w:unhideWhenUsed/>
    <w:rPr>
      <w:vertAlign w:val="superscript"/>
    </w:rPr>
  </w:style>
  <w:style w:type="paragraph" w:styleId="HeaderCenter" w:customStyle="1">
    <w:name w:val="Header Center"/>
    <w:basedOn w:val="Normal"/>
    <w:qFormat/>
    <w:pPr>
      <w:pBdr/>
      <w:spacing w:after="40"/>
      <w:jc w:val="center"/>
    </w:pPr>
    <w:rPr/>
  </w:style>
  <w:style w:type="paragraph" w:styleId="FooterLeft" w:customStyle="1">
    <w:name w:val="Footer Left"/>
    <w:basedOn w:val="Normal"/>
    <w:qFormat/>
    <w:pPr>
      <w:pBdr/>
      <w:tabs>
        <w:tab w:val="right" w:pos="9360"/>
      </w:tabs>
      <w:spacing w:after="40"/>
    </w:pPr>
    <w:rPr>
      <w:sz w:val="18"/>
    </w:rPr>
  </w:style>
  <w:style w:type="paragraph" w:styleId="FooterCenter" w:customStyle="1">
    <w:name w:val="Footer Center"/>
    <w:basedOn w:val="FooterLeft"/>
    <w:qFormat/>
    <w:pPr>
      <w:pBdr/>
      <w:spacing/>
      <w:jc w:val="center"/>
    </w:pPr>
    <w:rPr/>
  </w:style>
  <w:style w:type="paragraph" w:styleId="Heading5">
    <w:name w:val="Heading 5"/>
    <w:basedOn w:val="Heading4"/>
    <w:next w:val="Block1"/>
    <w:link w:val="Heading5Char"/>
    <w:uiPriority w:val="1"/>
    <w:qFormat/>
    <w:pPr>
      <w:pBdr/>
      <w:spacing/>
      <w:outlineLvl w:val="4"/>
    </w:pPr>
    <w:rPr>
      <w:b/>
      <w:i w:val="0"/>
      <w:sz w:val="26"/>
    </w:rPr>
  </w:style>
  <w:style w:type="paragraph" w:styleId="Heading6">
    <w:name w:val="Heading 6"/>
    <w:basedOn w:val="Heading5"/>
    <w:next w:val="Block1"/>
    <w:link w:val="Heading6Char"/>
    <w:uiPriority w:val="1"/>
    <w:qFormat/>
    <w:pPr>
      <w:pBdr/>
      <w:spacing/>
      <w:outlineLvl w:val="5"/>
    </w:pPr>
    <w:rPr>
      <w:i/>
    </w:rPr>
  </w:style>
  <w:style w:type="paragraph" w:styleId="Heading7">
    <w:name w:val="Heading 7"/>
    <w:basedOn w:val="Heading6"/>
    <w:next w:val="Block1"/>
    <w:link w:val="Heading7Char"/>
    <w:uiPriority w:val="1"/>
    <w:pPr>
      <w:pBdr/>
      <w:spacing w:after="180"/>
      <w:outlineLvl w:val="6"/>
    </w:pPr>
    <w:rPr>
      <w:b w:val="0"/>
      <w:iCs w:val="0"/>
    </w:rPr>
  </w:style>
  <w:style w:type="paragraph" w:styleId="Heading8">
    <w:name w:val="Heading 8"/>
    <w:basedOn w:val="Heading7"/>
    <w:next w:val="Block1"/>
    <w:link w:val="Heading8Char"/>
    <w:uiPriority w:val="1"/>
    <w:pPr>
      <w:pBdr/>
      <w:spacing/>
      <w:outlineLvl w:val="7"/>
    </w:pPr>
    <w:rPr>
      <w:b/>
      <w:i w:val="0"/>
      <w:sz w:val="24"/>
      <w:szCs w:val="21"/>
    </w:rPr>
  </w:style>
  <w:style w:type="paragraph" w:styleId="Heading9">
    <w:name w:val="Heading 9"/>
    <w:basedOn w:val="Heading8"/>
    <w:next w:val="Block1"/>
    <w:link w:val="Heading9Char"/>
    <w:uiPriority w:val="1"/>
    <w:pPr>
      <w:pBdr/>
      <w:spacing w:after="160"/>
      <w:outlineLvl w:val="8"/>
    </w:pPr>
    <w:rPr>
      <w:i/>
      <w:iCs/>
    </w:rPr>
  </w:style>
  <w:style w:type="table" w:styleId="TableNormal" w:default="1">
    <w:name w:val="Normal Tabl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numbering" w:styleId="NoList">
    <w:name w:val="No List"/>
    <w:uiPriority w:val="99"/>
    <w:semiHidden/>
    <w:unhideWhenUsed/>
  </w:style>
  <w:style w:type="character" w:styleId="Heading1Char" w:customStyle="1">
    <w:name w:val="Heading 1 Char"/>
    <w:basedOn w:val="DefaultParagraphFont"/>
    <w:link w:val="Heading1"/>
    <w:uiPriority w:val="1"/>
    <w:rPr>
      <w:rFonts w:ascii="Calibri" w:hAnsi="Calibri"/>
      <w:b/>
      <w:sz w:val="32"/>
      <w:szCs w:val="32"/>
    </w:rPr>
  </w:style>
  <w:style w:type="paragraph" w:styleId="NoSpacing" w:customStyle="1">
    <w:name w:val="No Spacing"/>
    <w:basedOn w:val="Normal"/>
    <w:uiPriority w:val="99"/>
    <w:unhideWhenUsed/>
    <w:pPr>
      <w:pBdr/>
      <w:spacing w:after="0"/>
      <w:contextualSpacing/>
    </w:pPr>
    <w:rPr/>
  </w:style>
  <w:style w:type="character" w:styleId="Heading2Char" w:customStyle="1">
    <w:name w:val="Heading 2 Char"/>
    <w:basedOn w:val="DefaultParagraphFont"/>
    <w:link w:val="Heading2"/>
    <w:uiPriority w:val="1"/>
    <w:rPr>
      <w:rFonts w:asciiTheme="majorHAnsi" w:hAnsiTheme="majorHAnsi" w:eastAsia="Times New Roman"/>
      <w:b/>
      <w:sz w:val="28"/>
      <w:szCs w:val="32"/>
    </w:rPr>
  </w:style>
  <w:style w:type="character" w:styleId="Heading3Char" w:customStyle="1">
    <w:name w:val="Heading 3 Char"/>
    <w:basedOn w:val="DefaultParagraphFont"/>
    <w:link w:val="Heading3"/>
    <w:uiPriority w:val="1"/>
    <w:rPr>
      <w:rFonts w:asciiTheme="majorHAnsi" w:hAnsiTheme="majorHAnsi" w:eastAsiaTheme="majorEastAsia" w:cstheme="majorBidi"/>
      <w:b/>
      <w:i/>
      <w:sz w:val="28"/>
    </w:rPr>
  </w:style>
  <w:style w:type="paragraph" w:styleId="ListParagraph">
    <w:name w:val="List Paragraph"/>
    <w:basedOn w:val="Normal"/>
    <w:uiPriority w:val="98"/>
    <w:semiHidden/>
    <w:qFormat/>
    <w:pPr>
      <w:pBdr/>
      <w:spacing/>
      <w:ind w:left="475" w:hanging="475"/>
    </w:pPr>
    <w:rPr/>
  </w:style>
  <w:style w:type="character" w:styleId="Heading4Char" w:customStyle="1">
    <w:name w:val="Heading 4 Char"/>
    <w:basedOn w:val="DefaultParagraphFont"/>
    <w:link w:val="Heading4"/>
    <w:uiPriority w:val="1"/>
    <w:rPr>
      <w:rFonts w:asciiTheme="majorHAnsi" w:hAnsiTheme="majorHAnsi" w:eastAsiaTheme="majorEastAsia" w:cstheme="majorBidi"/>
      <w:i/>
      <w:iCs/>
      <w:sz w:val="28"/>
    </w:rPr>
  </w:style>
  <w:style w:type="character" w:styleId="Heading5Char" w:customStyle="1">
    <w:name w:val="Heading 5 Char"/>
    <w:basedOn w:val="DefaultParagraphFont"/>
    <w:link w:val="Heading5"/>
    <w:uiPriority w:val="1"/>
    <w:rPr>
      <w:rFonts w:asciiTheme="majorHAnsi" w:hAnsiTheme="majorHAnsi" w:eastAsiaTheme="majorEastAsia" w:cstheme="majorBidi"/>
      <w:b/>
      <w:iCs/>
      <w:sz w:val="26"/>
    </w:rPr>
  </w:style>
  <w:style w:type="paragraph" w:styleId="Section" w:customStyle="1">
    <w:name w:val="Section"/>
    <w:basedOn w:val="Heading1"/>
    <w:next w:val="Block1"/>
    <w:uiPriority w:val="1"/>
    <w:qFormat/>
    <w:pPr>
      <w:pBdr/>
      <w:spacing w:before="180" w:after="120"/>
      <w:ind w:left="950" w:hanging="950"/>
      <w:jc w:val="left"/>
      <w:outlineLvl w:val="5"/>
    </w:pPr>
    <w:rPr>
      <w:sz w:val="24"/>
    </w:rPr>
  </w:style>
  <w:style w:type="paragraph" w:styleId="List1" w:customStyle="1">
    <w:name w:val="List 1"/>
    <w:basedOn w:val="Hang1"/>
    <w:uiPriority w:val="5"/>
    <w:qFormat/>
    <w:pPr>
      <w:pBdr/>
      <w:spacing/>
    </w:pPr>
    <w:rPr/>
  </w:style>
  <w:style w:type="paragraph" w:styleId="ListParagraph2" w:customStyle="1">
    <w:name w:val="List Paragraph 2"/>
    <w:basedOn w:val="List1"/>
    <w:uiPriority w:val="98"/>
    <w:semiHidden/>
    <w:unhideWhenUsed/>
    <w:qFormat/>
    <w:pPr>
      <w:pBdr/>
      <w:spacing/>
      <w:ind w:left="950"/>
    </w:pPr>
    <w:rPr/>
  </w:style>
  <w:style w:type="paragraph" w:styleId="Block1" w:customStyle="1">
    <w:name w:val="Block 1"/>
    <w:basedOn w:val="Normal"/>
    <w:uiPriority w:val="3"/>
    <w:qFormat/>
    <w:pPr>
      <w:pBdr/>
      <w:spacing/>
    </w:pPr>
    <w:rPr/>
  </w:style>
  <w:style w:type="paragraph" w:styleId="HistoryNote" w:customStyle="1">
    <w:name w:val="History Note"/>
    <w:basedOn w:val="Block1"/>
    <w:next w:val="Section"/>
    <w:uiPriority w:val="2"/>
    <w:qFormat/>
    <w:pPr>
      <w:pBdr/>
      <w:spacing w:after="240"/>
    </w:pPr>
    <w:rPr/>
  </w:style>
  <w:style w:type="paragraph" w:styleId="FootnoteText">
    <w:name w:val="Footnote Text"/>
    <w:basedOn w:val="Normal"/>
    <w:link w:val="FootnoteTextChar"/>
    <w:uiPriority w:val="99"/>
    <w:unhideWhenUsed/>
    <w:pPr>
      <w:pBdr/>
      <w:spacing w:after="0"/>
    </w:pPr>
    <w:rPr>
      <w:szCs w:val="20"/>
    </w:rPr>
  </w:style>
  <w:style w:type="character" w:styleId="FootnoteTextChar" w:customStyle="1">
    <w:name w:val="Footnote Text Char"/>
    <w:basedOn w:val="DefaultParagraphFont"/>
    <w:link w:val="FootnoteText"/>
    <w:uiPriority w:val="99"/>
    <w:rPr>
      <w:rFonts w:ascii="Calibri" w:hAnsi="Calibri"/>
      <w:sz w:val="20"/>
      <w:szCs w:val="20"/>
    </w:rPr>
  </w:style>
  <w:style w:type="paragraph" w:styleId="TOC1">
    <w:name w:val="TOC 1"/>
    <w:basedOn w:val="Normal"/>
    <w:next w:val="TOC2"/>
    <w:uiPriority w:val="69"/>
    <w:unhideWhenUsed/>
    <w:qFormat/>
    <w:pPr>
      <w:pBdr/>
      <w:tabs>
        <w:tab w:val="right" w:leader="dot" w:pos="9000"/>
      </w:tabs>
      <w:spacing w:after="60" w:line="276" w:lineRule="auto"/>
      <w:ind w:left="245" w:hanging="245"/>
    </w:pPr>
    <w:rPr/>
  </w:style>
  <w:style w:type="paragraph" w:styleId="TOC2">
    <w:name w:val="TOC 2"/>
    <w:basedOn w:val="TOC1"/>
    <w:next w:val="TOC3"/>
    <w:uiPriority w:val="69"/>
    <w:unhideWhenUsed/>
    <w:qFormat/>
    <w:pPr>
      <w:pBdr/>
      <w:spacing/>
      <w:ind w:left="720"/>
    </w:pPr>
    <w:rPr/>
  </w:style>
  <w:style w:type="paragraph" w:styleId="TOC3">
    <w:name w:val="TOC 3"/>
    <w:basedOn w:val="TOC2"/>
    <w:next w:val="TOC4"/>
    <w:uiPriority w:val="69"/>
    <w:unhideWhenUsed/>
    <w:qFormat/>
    <w:pPr>
      <w:pBdr/>
      <w:spacing/>
      <w:ind w:left="1195"/>
    </w:pPr>
    <w:rPr/>
  </w:style>
  <w:style w:type="paragraph" w:styleId="TOC4">
    <w:name w:val="TOC 4"/>
    <w:basedOn w:val="TOC3"/>
    <w:next w:val="TOC5"/>
    <w:uiPriority w:val="69"/>
    <w:unhideWhenUsed/>
    <w:qFormat/>
    <w:pPr>
      <w:pBdr/>
      <w:spacing/>
      <w:ind w:left="1685"/>
    </w:pPr>
    <w:rPr/>
  </w:style>
  <w:style w:type="paragraph" w:styleId="Index1">
    <w:name w:val="Index 1"/>
    <w:basedOn w:val="TOC1"/>
    <w:next w:val="Index2"/>
    <w:uiPriority w:val="99"/>
    <w:unhideWhenUsed/>
    <w:pPr>
      <w:pBdr/>
      <w:spacing/>
    </w:pPr>
    <w:rPr/>
  </w:style>
  <w:style w:type="paragraph" w:styleId="Index2">
    <w:name w:val="Index 2"/>
    <w:basedOn w:val="TOC2"/>
    <w:next w:val="Index3"/>
    <w:uiPriority w:val="99"/>
    <w:unhideWhenUsed/>
    <w:pPr>
      <w:pBdr/>
      <w:spacing/>
    </w:pPr>
    <w:rPr/>
  </w:style>
  <w:style w:type="paragraph" w:styleId="Index3">
    <w:name w:val="Index 3"/>
    <w:basedOn w:val="TOC3"/>
    <w:next w:val="Index4"/>
    <w:uiPriority w:val="99"/>
    <w:unhideWhenUsed/>
    <w:pPr>
      <w:pBdr/>
      <w:spacing/>
    </w:pPr>
    <w:rPr/>
  </w:style>
  <w:style w:type="paragraph" w:styleId="Index4">
    <w:name w:val="Index 4"/>
    <w:basedOn w:val="TOC4"/>
    <w:next w:val="Index6"/>
    <w:uiPriority w:val="99"/>
    <w:unhideWhenUsed/>
    <w:pPr>
      <w:pBdr/>
      <w:spacing/>
    </w:pPr>
    <w:rPr/>
  </w:style>
  <w:style w:type="paragraph" w:styleId="TOC5">
    <w:name w:val="TOC 5"/>
    <w:basedOn w:val="TOC4"/>
    <w:next w:val="TOC6"/>
    <w:uiPriority w:val="69"/>
    <w:unhideWhenUsed/>
    <w:qFormat/>
    <w:pPr>
      <w:pBdr/>
      <w:spacing/>
      <w:ind w:left="2160"/>
    </w:pPr>
    <w:rPr/>
  </w:style>
  <w:style w:type="paragraph" w:styleId="Index5">
    <w:name w:val="Index 5"/>
    <w:basedOn w:val="TOC5"/>
    <w:next w:val="Index6"/>
    <w:uiPriority w:val="99"/>
    <w:unhideWhenUsed/>
    <w:pPr>
      <w:pBdr/>
      <w:spacing/>
    </w:pPr>
    <w:rPr/>
  </w:style>
  <w:style w:type="paragraph" w:styleId="TOC6">
    <w:name w:val="TOC 6"/>
    <w:basedOn w:val="TOC5"/>
    <w:uiPriority w:val="69"/>
    <w:unhideWhenUsed/>
    <w:qFormat/>
    <w:pPr>
      <w:pBdr/>
      <w:spacing/>
      <w:ind w:left="2635"/>
    </w:pPr>
    <w:rPr/>
  </w:style>
  <w:style w:type="paragraph" w:styleId="Index6">
    <w:name w:val="Index 6"/>
    <w:basedOn w:val="TOC6"/>
    <w:next w:val="Index7"/>
    <w:uiPriority w:val="99"/>
    <w:unhideWhenUsed/>
    <w:pPr>
      <w:pBdr/>
      <w:spacing/>
    </w:pPr>
    <w:rPr/>
  </w:style>
  <w:style w:type="paragraph" w:styleId="TOC7">
    <w:name w:val="TOC 7"/>
    <w:basedOn w:val="TOC6"/>
    <w:next w:val="TOC8"/>
    <w:uiPriority w:val="69"/>
    <w:unhideWhenUsed/>
    <w:qFormat/>
    <w:pPr>
      <w:pBdr/>
      <w:spacing/>
      <w:ind w:left="3125"/>
    </w:pPr>
    <w:rPr/>
  </w:style>
  <w:style w:type="paragraph" w:styleId="Index7">
    <w:name w:val="Index 7"/>
    <w:basedOn w:val="TOC7"/>
    <w:next w:val="Index8"/>
    <w:uiPriority w:val="99"/>
    <w:unhideWhenUsed/>
    <w:pPr>
      <w:pBdr/>
      <w:spacing/>
    </w:pPr>
    <w:rPr/>
  </w:style>
  <w:style w:type="paragraph" w:styleId="TOC8">
    <w:name w:val="TOC 8"/>
    <w:basedOn w:val="TOC7"/>
    <w:next w:val="TOC9"/>
    <w:uiPriority w:val="69"/>
    <w:unhideWhenUsed/>
    <w:qFormat/>
    <w:pPr>
      <w:pBdr/>
      <w:spacing/>
      <w:ind w:left="3600"/>
    </w:pPr>
    <w:rPr/>
  </w:style>
  <w:style w:type="paragraph" w:styleId="Index8">
    <w:name w:val="Index 8"/>
    <w:basedOn w:val="TOC8"/>
    <w:next w:val="Index9"/>
    <w:uiPriority w:val="99"/>
    <w:unhideWhenUsed/>
    <w:pPr>
      <w:pBdr/>
      <w:spacing/>
    </w:pPr>
    <w:rPr/>
  </w:style>
  <w:style w:type="paragraph" w:styleId="TOC9">
    <w:name w:val="TOC 9"/>
    <w:basedOn w:val="TOC8"/>
    <w:uiPriority w:val="69"/>
    <w:unhideWhenUsed/>
    <w:qFormat/>
    <w:pPr>
      <w:pBdr/>
      <w:spacing/>
      <w:ind w:left="4075"/>
    </w:pPr>
    <w:rPr/>
  </w:style>
  <w:style w:type="paragraph" w:styleId="Index9">
    <w:name w:val="Index 9"/>
    <w:basedOn w:val="TOC9"/>
    <w:uiPriority w:val="99"/>
    <w:unhideWhenUsed/>
    <w:pPr>
      <w:pBdr/>
      <w:spacing/>
    </w:pPr>
    <w:rPr/>
  </w:style>
  <w:style w:type="paragraph" w:styleId="Paragraph1" w:customStyle="1">
    <w:name w:val="Paragraph 1"/>
    <w:basedOn w:val="Normal"/>
    <w:uiPriority w:val="7"/>
    <w:qFormat/>
    <w:pPr>
      <w:pBdr/>
      <w:spacing/>
      <w:ind w:firstLine="475"/>
    </w:pPr>
    <w:rPr/>
  </w:style>
  <w:style w:type="paragraph" w:styleId="NormalWeb">
    <w:name w:val="Normal (Web)"/>
    <w:basedOn w:val="Normal"/>
    <w:uiPriority w:val="99"/>
    <w:semiHidden/>
    <w:unhideWhenUsed/>
    <w:pPr>
      <w:pBdr/>
      <w:spacing w:before="100" w:beforeAutospacing="1" w:after="100" w:afterAutospacing="1"/>
    </w:pPr>
    <w:rPr>
      <w:rFonts w:ascii="Verdana" w:hAnsi="Verdana" w:eastAsia="Times New Roman" w:cs="Times New Roman"/>
    </w:rPr>
  </w:style>
  <w:style w:type="paragraph" w:styleId="Title">
    <w:name w:val="Title"/>
    <w:basedOn w:val="Normal"/>
    <w:next w:val="Normal"/>
    <w:link w:val="TitleChar"/>
    <w:unhideWhenUsed/>
    <w:pPr>
      <w:pBdr/>
      <w:spacing w:after="0" w:line="480" w:lineRule="auto"/>
      <w:contextualSpacing/>
      <w:jc w:val="center"/>
      <w:outlineLvl w:val="0"/>
    </w:pPr>
    <w:rPr>
      <w:rFonts w:eastAsiaTheme="majorEastAsia" w:cstheme="majorBidi"/>
      <w:b/>
      <w:spacing w:val="-10"/>
      <w:kern w:val="28"/>
      <w:sz w:val="52"/>
      <w:szCs w:val="56"/>
    </w:rPr>
  </w:style>
  <w:style w:type="character" w:styleId="TitleChar" w:customStyle="1">
    <w:name w:val="Title Char"/>
    <w:basedOn w:val="DefaultParagraphFont"/>
    <w:link w:val="Title"/>
    <w:rPr>
      <w:rFonts w:ascii="Calibri" w:hAnsi="Calibri" w:eastAsiaTheme="majorEastAsia" w:cstheme="majorBidi"/>
      <w:b/>
      <w:spacing w:val="-10"/>
      <w:kern w:val="28"/>
      <w:sz w:val="52"/>
      <w:szCs w:val="56"/>
    </w:rPr>
  </w:style>
  <w:style w:type="paragraph" w:styleId="ReferenceNote" w:customStyle="1">
    <w:name w:val="Reference Note"/>
    <w:basedOn w:val="Block1"/>
    <w:next w:val="Block1"/>
    <w:uiPriority w:val="2"/>
    <w:qFormat/>
    <w:pPr>
      <w:pBdr/>
      <w:spacing/>
    </w:pPr>
    <w:rPr/>
  </w:style>
  <w:style w:type="paragraph" w:styleId="List2">
    <w:name w:val="List 2"/>
    <w:basedOn w:val="List1"/>
    <w:uiPriority w:val="5"/>
    <w:qFormat/>
    <w:pPr>
      <w:pBdr/>
      <w:spacing/>
      <w:ind w:left="950"/>
    </w:pPr>
    <w:rPr/>
  </w:style>
  <w:style w:type="paragraph" w:styleId="Block2" w:customStyle="1">
    <w:name w:val="Block 2"/>
    <w:basedOn w:val="Block1"/>
    <w:uiPriority w:val="3"/>
    <w:unhideWhenUsed/>
    <w:qFormat/>
    <w:pPr>
      <w:pBdr/>
      <w:spacing/>
      <w:ind w:left="475"/>
    </w:pPr>
    <w:rPr/>
  </w:style>
  <w:style w:type="paragraph" w:styleId="Block3" w:customStyle="1">
    <w:name w:val="Block 3"/>
    <w:basedOn w:val="Block2"/>
    <w:uiPriority w:val="3"/>
    <w:unhideWhenUsed/>
    <w:qFormat/>
    <w:pPr>
      <w:pBdr/>
      <w:spacing/>
      <w:ind w:left="950"/>
    </w:pPr>
    <w:rPr/>
  </w:style>
  <w:style w:type="paragraph" w:styleId="Block4" w:customStyle="1">
    <w:name w:val="Block 4"/>
    <w:basedOn w:val="Block3"/>
    <w:uiPriority w:val="3"/>
    <w:unhideWhenUsed/>
    <w:qFormat/>
    <w:pPr>
      <w:pBdr/>
      <w:spacing/>
      <w:ind w:left="1440"/>
    </w:pPr>
    <w:rPr/>
  </w:style>
  <w:style w:type="paragraph" w:styleId="Block5" w:customStyle="1">
    <w:name w:val="Block 5"/>
    <w:basedOn w:val="Block4"/>
    <w:uiPriority w:val="3"/>
    <w:unhideWhenUsed/>
    <w:qFormat/>
    <w:pPr>
      <w:pBdr/>
      <w:spacing/>
      <w:ind w:left="1915"/>
    </w:pPr>
    <w:rPr/>
  </w:style>
  <w:style w:type="paragraph" w:styleId="Block6" w:customStyle="1">
    <w:name w:val="Block 6"/>
    <w:basedOn w:val="Block5"/>
    <w:uiPriority w:val="3"/>
    <w:unhideWhenUsed/>
    <w:pPr>
      <w:pBdr/>
      <w:spacing/>
      <w:ind w:left="2390"/>
    </w:pPr>
    <w:rPr/>
  </w:style>
  <w:style w:type="paragraph" w:styleId="Block7" w:customStyle="1">
    <w:name w:val="Block 7"/>
    <w:basedOn w:val="Block6"/>
    <w:uiPriority w:val="3"/>
    <w:unhideWhenUsed/>
    <w:pPr>
      <w:pBdr/>
      <w:spacing/>
      <w:ind w:left="2880"/>
    </w:pPr>
    <w:rPr/>
  </w:style>
  <w:style w:type="paragraph" w:styleId="Block8" w:customStyle="1">
    <w:name w:val="Block 8"/>
    <w:basedOn w:val="Block7"/>
    <w:uiPriority w:val="3"/>
    <w:unhideWhenUsed/>
    <w:pPr>
      <w:pBdr/>
      <w:spacing/>
      <w:ind w:left="3355"/>
    </w:pPr>
    <w:rPr/>
  </w:style>
  <w:style w:type="paragraph" w:styleId="Block9" w:customStyle="1">
    <w:name w:val="Block 9"/>
    <w:basedOn w:val="Block8"/>
    <w:uiPriority w:val="3"/>
    <w:unhideWhenUsed/>
    <w:pPr>
      <w:pBdr/>
      <w:spacing/>
      <w:ind w:left="3830"/>
    </w:pPr>
    <w:rPr/>
  </w:style>
  <w:style w:type="paragraph" w:styleId="List3">
    <w:name w:val="List 3"/>
    <w:basedOn w:val="List2"/>
    <w:uiPriority w:val="5"/>
    <w:unhideWhenUsed/>
    <w:qFormat/>
    <w:pPr>
      <w:pBdr/>
      <w:spacing/>
      <w:ind w:left="1425"/>
    </w:pPr>
    <w:rPr/>
  </w:style>
  <w:style w:type="paragraph" w:styleId="List4">
    <w:name w:val="List 4"/>
    <w:basedOn w:val="List3"/>
    <w:uiPriority w:val="5"/>
    <w:unhideWhenUsed/>
    <w:qFormat/>
    <w:pPr>
      <w:pBdr/>
      <w:spacing/>
      <w:ind w:left="1915"/>
    </w:pPr>
    <w:rPr/>
  </w:style>
  <w:style w:type="paragraph" w:styleId="List5">
    <w:name w:val="List 5"/>
    <w:basedOn w:val="List4"/>
    <w:uiPriority w:val="5"/>
    <w:unhideWhenUsed/>
    <w:qFormat/>
    <w:pPr>
      <w:pBdr/>
      <w:spacing/>
      <w:ind w:left="2865"/>
    </w:pPr>
    <w:rPr/>
  </w:style>
  <w:style w:type="paragraph" w:styleId="List6" w:customStyle="1">
    <w:name w:val="List 6"/>
    <w:basedOn w:val="List5"/>
    <w:uiPriority w:val="5"/>
    <w:unhideWhenUsed/>
    <w:pPr>
      <w:pBdr/>
      <w:spacing/>
      <w:ind w:left="3355"/>
    </w:pPr>
    <w:rPr/>
  </w:style>
  <w:style w:type="paragraph" w:styleId="List7" w:customStyle="1">
    <w:name w:val="List 7"/>
    <w:basedOn w:val="List6"/>
    <w:uiPriority w:val="5"/>
    <w:unhideWhenUsed/>
    <w:pPr>
      <w:pBdr/>
      <w:spacing/>
      <w:ind w:left="3830"/>
    </w:pPr>
    <w:rPr/>
  </w:style>
  <w:style w:type="paragraph" w:styleId="List8" w:customStyle="1">
    <w:name w:val="List 8"/>
    <w:basedOn w:val="List7"/>
    <w:uiPriority w:val="5"/>
    <w:unhideWhenUsed/>
    <w:pPr>
      <w:pBdr/>
      <w:spacing/>
      <w:ind w:left="4305"/>
    </w:pPr>
    <w:rPr/>
  </w:style>
  <w:style w:type="paragraph" w:styleId="List9" w:customStyle="1">
    <w:name w:val="List 9"/>
    <w:basedOn w:val="List8"/>
    <w:uiPriority w:val="5"/>
    <w:unhideWhenUsed/>
    <w:pPr>
      <w:pBdr/>
      <w:spacing/>
      <w:ind w:left="4795"/>
    </w:pPr>
    <w:rPr/>
  </w:style>
  <w:style w:type="paragraph" w:styleId="Hang2" w:customStyle="1">
    <w:name w:val="Hang 2"/>
    <w:basedOn w:val="Hang1"/>
    <w:uiPriority w:val="8"/>
    <w:unhideWhenUsed/>
    <w:qFormat/>
    <w:pPr>
      <w:pBdr/>
      <w:spacing/>
      <w:ind w:left="950"/>
    </w:pPr>
    <w:rPr/>
  </w:style>
  <w:style w:type="paragraph" w:styleId="Hang3" w:customStyle="1">
    <w:name w:val="Hang 3"/>
    <w:basedOn w:val="Hang2"/>
    <w:uiPriority w:val="8"/>
    <w:unhideWhenUsed/>
    <w:qFormat/>
    <w:pPr>
      <w:pBdr/>
      <w:spacing/>
      <w:ind w:left="1425"/>
    </w:pPr>
    <w:rPr/>
  </w:style>
  <w:style w:type="paragraph" w:styleId="Hang4" w:customStyle="1">
    <w:name w:val="Hang 4"/>
    <w:basedOn w:val="Hang3"/>
    <w:uiPriority w:val="8"/>
    <w:unhideWhenUsed/>
    <w:qFormat/>
    <w:pPr>
      <w:pBdr/>
      <w:spacing/>
      <w:ind w:left="1915"/>
    </w:pPr>
    <w:rPr/>
  </w:style>
  <w:style w:type="paragraph" w:styleId="Hang5" w:customStyle="1">
    <w:name w:val="Hang 5"/>
    <w:basedOn w:val="Hang4"/>
    <w:uiPriority w:val="8"/>
    <w:unhideWhenUsed/>
    <w:qFormat/>
    <w:pPr>
      <w:pBdr/>
      <w:spacing/>
      <w:ind w:left="2390"/>
    </w:pPr>
    <w:rPr/>
  </w:style>
  <w:style w:type="paragraph" w:styleId="Hang6" w:customStyle="1">
    <w:name w:val="Hang 6"/>
    <w:basedOn w:val="Hang5"/>
    <w:uiPriority w:val="8"/>
    <w:unhideWhenUsed/>
    <w:pPr>
      <w:pBdr/>
      <w:spacing/>
      <w:ind w:left="2865"/>
    </w:pPr>
    <w:rPr/>
  </w:style>
  <w:style w:type="paragraph" w:styleId="Hang7" w:customStyle="1">
    <w:name w:val="Hang 7"/>
    <w:basedOn w:val="Hang6"/>
    <w:uiPriority w:val="8"/>
    <w:unhideWhenUsed/>
    <w:pPr>
      <w:pBdr/>
      <w:spacing/>
      <w:ind w:left="3355"/>
    </w:pPr>
    <w:rPr/>
  </w:style>
  <w:style w:type="paragraph" w:styleId="Hang8" w:customStyle="1">
    <w:name w:val="Hang 8"/>
    <w:basedOn w:val="Hang7"/>
    <w:uiPriority w:val="8"/>
    <w:unhideWhenUsed/>
    <w:pPr>
      <w:pBdr/>
      <w:spacing/>
      <w:ind w:left="3830"/>
    </w:pPr>
    <w:rPr/>
  </w:style>
  <w:style w:type="paragraph" w:styleId="Hang9" w:customStyle="1">
    <w:name w:val="Hang 9"/>
    <w:basedOn w:val="Hang8"/>
    <w:uiPriority w:val="8"/>
    <w:unhideWhenUsed/>
    <w:pPr>
      <w:pBdr/>
      <w:spacing/>
      <w:ind w:left="4305"/>
    </w:pPr>
    <w:rPr/>
  </w:style>
  <w:style w:type="paragraph" w:styleId="Paragraph2" w:customStyle="1">
    <w:name w:val="Paragraph 2"/>
    <w:basedOn w:val="Paragraph1"/>
    <w:uiPriority w:val="7"/>
    <w:unhideWhenUsed/>
    <w:qFormat/>
    <w:pPr>
      <w:pBdr/>
      <w:spacing/>
      <w:ind w:left="475"/>
    </w:pPr>
    <w:rPr/>
  </w:style>
  <w:style w:type="paragraph" w:styleId="Paragraph3" w:customStyle="1">
    <w:name w:val="Paragraph 3"/>
    <w:basedOn w:val="Paragraph2"/>
    <w:uiPriority w:val="7"/>
    <w:unhideWhenUsed/>
    <w:qFormat/>
    <w:pPr>
      <w:pBdr/>
      <w:spacing/>
      <w:ind w:left="950"/>
    </w:pPr>
    <w:rPr/>
  </w:style>
  <w:style w:type="paragraph" w:styleId="Paragraph4" w:customStyle="1">
    <w:name w:val="Paragraph 4"/>
    <w:basedOn w:val="Paragraph3"/>
    <w:uiPriority w:val="7"/>
    <w:unhideWhenUsed/>
    <w:qFormat/>
    <w:pPr>
      <w:pBdr/>
      <w:spacing/>
      <w:ind w:left="1440"/>
    </w:pPr>
    <w:rPr/>
  </w:style>
  <w:style w:type="paragraph" w:styleId="Paragraph5" w:customStyle="1">
    <w:name w:val="Paragraph 5"/>
    <w:basedOn w:val="Paragraph4"/>
    <w:uiPriority w:val="7"/>
    <w:unhideWhenUsed/>
    <w:qFormat/>
    <w:pPr>
      <w:pBdr/>
      <w:spacing/>
      <w:ind w:left="1915"/>
    </w:pPr>
    <w:rPr/>
  </w:style>
  <w:style w:type="paragraph" w:styleId="Paragraph6" w:customStyle="1">
    <w:name w:val="Paragraph 6"/>
    <w:basedOn w:val="Paragraph5"/>
    <w:uiPriority w:val="7"/>
    <w:unhideWhenUsed/>
    <w:pPr>
      <w:pBdr/>
      <w:spacing/>
      <w:ind w:left="2880"/>
    </w:pPr>
    <w:rPr/>
  </w:style>
  <w:style w:type="paragraph" w:styleId="Paragraph7" w:customStyle="1">
    <w:name w:val="Paragraph 7"/>
    <w:basedOn w:val="Paragraph6"/>
    <w:uiPriority w:val="7"/>
    <w:unhideWhenUsed/>
    <w:pPr>
      <w:pBdr/>
      <w:spacing/>
      <w:ind w:left="3355"/>
    </w:pPr>
    <w:rPr/>
  </w:style>
  <w:style w:type="paragraph" w:styleId="Paragraph8" w:customStyle="1">
    <w:name w:val="Paragraph 8"/>
    <w:basedOn w:val="Paragraph7"/>
    <w:uiPriority w:val="7"/>
    <w:unhideWhenUsed/>
    <w:pPr>
      <w:pBdr/>
      <w:spacing/>
      <w:ind w:left="3830"/>
    </w:pPr>
    <w:rPr/>
  </w:style>
  <w:style w:type="paragraph" w:styleId="Paragraph9" w:customStyle="1">
    <w:name w:val="Paragraph 9"/>
    <w:basedOn w:val="Paragraph8"/>
    <w:uiPriority w:val="7"/>
    <w:unhideWhenUsed/>
    <w:pPr>
      <w:pBdr/>
      <w:spacing/>
      <w:ind w:left="4320"/>
    </w:pPr>
    <w:rPr/>
  </w:style>
  <w:style w:type="character" w:styleId="Heading6Char" w:customStyle="1">
    <w:name w:val="Heading 6 Char"/>
    <w:basedOn w:val="DefaultParagraphFont"/>
    <w:link w:val="Heading6"/>
    <w:uiPriority w:val="1"/>
    <w:rPr>
      <w:rFonts w:asciiTheme="majorHAnsi" w:hAnsiTheme="majorHAnsi" w:eastAsiaTheme="majorEastAsia" w:cstheme="majorBidi"/>
      <w:b/>
      <w:i/>
      <w:iCs/>
      <w:sz w:val="26"/>
    </w:rPr>
  </w:style>
  <w:style w:type="character" w:styleId="Heading8Char" w:customStyle="1">
    <w:name w:val="Heading 8 Char"/>
    <w:basedOn w:val="DefaultParagraphFont"/>
    <w:link w:val="Heading8"/>
    <w:uiPriority w:val="1"/>
    <w:rPr>
      <w:rFonts w:ascii="Calibri" w:hAnsi="Calibri" w:eastAsiaTheme="majorEastAsia" w:cstheme="majorBidi"/>
      <w:b/>
      <w:szCs w:val="21"/>
    </w:rPr>
  </w:style>
  <w:style w:type="character" w:styleId="Heading7Char" w:customStyle="1">
    <w:name w:val="Heading 7 Char"/>
    <w:basedOn w:val="DefaultParagraphFont"/>
    <w:link w:val="Heading7"/>
    <w:uiPriority w:val="1"/>
    <w:rPr>
      <w:rFonts w:asciiTheme="majorHAnsi" w:hAnsiTheme="majorHAnsi" w:eastAsiaTheme="majorEastAsia" w:cstheme="majorBidi"/>
      <w:i/>
      <w:sz w:val="26"/>
    </w:rPr>
  </w:style>
  <w:style w:type="character" w:styleId="Heading9Char" w:customStyle="1">
    <w:name w:val="Heading 9 Char"/>
    <w:basedOn w:val="DefaultParagraphFont"/>
    <w:link w:val="Heading9"/>
    <w:uiPriority w:val="1"/>
    <w:rPr>
      <w:rFonts w:ascii="Calibri" w:hAnsi="Calibri" w:eastAsiaTheme="majorEastAsia" w:cstheme="majorBidi"/>
      <w:b/>
      <w:i/>
      <w:iCs/>
      <w:szCs w:val="21"/>
    </w:rPr>
  </w:style>
  <w:style w:type="paragraph" w:styleId="Subsect1" w:customStyle="1">
    <w:name w:val="Subsect 1"/>
    <w:basedOn w:val="Section"/>
    <w:next w:val="Block1"/>
    <w:uiPriority w:val="1"/>
    <w:qFormat/>
    <w:pPr>
      <w:pBdr/>
      <w:spacing/>
      <w:outlineLvl w:val="6"/>
    </w:pPr>
    <w:rPr>
      <w:u w:val="single"/>
    </w:rPr>
  </w:style>
  <w:style w:type="paragraph" w:styleId="Subsect2" w:customStyle="1">
    <w:name w:val="Subsect 2"/>
    <w:basedOn w:val="Subsect1"/>
    <w:next w:val="Block1"/>
    <w:uiPriority w:val="1"/>
    <w:qFormat/>
    <w:pPr>
      <w:pBdr/>
      <w:spacing/>
      <w:outlineLvl w:val="7"/>
    </w:pPr>
    <w:rPr>
      <w:i/>
    </w:rPr>
  </w:style>
  <w:style w:type="paragraph" w:styleId="Subsect3" w:customStyle="1">
    <w:name w:val="Subsect 3"/>
    <w:basedOn w:val="Subsect2"/>
    <w:next w:val="Block1"/>
    <w:uiPriority w:val="1"/>
    <w:qFormat/>
    <w:pPr>
      <w:pBdr/>
      <w:spacing/>
      <w:outlineLvl w:val="8"/>
    </w:pPr>
    <w:rPr>
      <w:b w:val="0"/>
      <w:i w:val="0"/>
    </w:rPr>
  </w:style>
  <w:style w:type="table" w:styleId="NormalTable_32ab339a-fdc5-4ed0-a387-3e238c5e8ae4" w:customStyle="1">
    <w:name w:val="Normal Table_32ab339a-fdc5-4ed0-a387-3e238c5e8ae4"/>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Grid">
    <w:name w:val="Table Grid"/>
    <w:basedOn w:val="NormalTable_32ab339a-fdc5-4ed0-a387-3e238c5e8ae4"/>
    <w:uiPriority w:val="39"/>
    <w:pPr>
      <w:pBdr/>
      <w:spacing w:before="0" w:after="0"/>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tcMar/>
      <w:vAlign w:val="top"/>
    </w:tcPr>
  </w:style>
  <w:style w:type="paragraph" w:styleId="ImageCaptionBelowLeft" w:customStyle="1">
    <w:name w:val="Image Caption Below Left"/>
    <w:basedOn w:val="Block1"/>
    <w:next w:val="Block1"/>
    <w:qFormat/>
    <w:pPr>
      <w:widowControl w:val="false"/>
      <w:pBdr/>
      <w:spacing/>
    </w:pPr>
    <w:rPr>
      <w:b/>
    </w:rPr>
  </w:style>
  <w:style w:type="paragraph" w:styleId="ImageCaptionBelowCenter" w:customStyle="1">
    <w:name w:val="Image Caption Below Center"/>
    <w:basedOn w:val="ImageCaptionBelowLeft"/>
    <w:next w:val="Block1"/>
    <w:pPr>
      <w:pBdr/>
      <w:spacing/>
      <w:jc w:val="center"/>
    </w:pPr>
    <w:rPr/>
  </w:style>
  <w:style w:type="paragraph" w:styleId="ImageLeft" w:customStyle="1">
    <w:name w:val="Image Left"/>
    <w:next w:val="Block1"/>
    <w:qFormat/>
    <w:pPr>
      <w:pBdr/>
      <w:spacing/>
      <w:jc w:val="left"/>
    </w:pPr>
    <w:rPr>
      <w:rFonts w:ascii="Calibri" w:hAnsi="Calibri"/>
    </w:rPr>
  </w:style>
  <w:style w:type="paragraph" w:styleId="ImageCenter" w:customStyle="1">
    <w:name w:val="Image Center"/>
    <w:basedOn w:val="ImageLeft"/>
    <w:next w:val="Block1"/>
    <w:qFormat/>
    <w:pPr>
      <w:pBdr/>
      <w:spacing/>
      <w:jc w:val="center"/>
    </w:pPr>
    <w:rPr/>
  </w:style>
  <w:style w:type="paragraph" w:styleId="ImageCaptionAboveLeft" w:customStyle="1">
    <w:name w:val="Image Caption Above Left"/>
    <w:basedOn w:val="Block1"/>
    <w:next w:val="Block1"/>
    <w:qFormat/>
    <w:pPr>
      <w:keepNext/>
      <w:pBdr/>
      <w:spacing/>
    </w:pPr>
    <w:rPr>
      <w:b/>
    </w:rPr>
  </w:style>
  <w:style w:type="paragraph" w:styleId="ImageCaptionBelowRight" w:customStyle="1">
    <w:name w:val="Image Caption Below Right"/>
    <w:basedOn w:val="ImageCaptionBelowLeft"/>
    <w:next w:val="Block1"/>
    <w:qFormat/>
    <w:pPr>
      <w:pBdr/>
      <w:spacing/>
      <w:jc w:val="right"/>
    </w:pPr>
    <w:rPr/>
  </w:style>
  <w:style w:type="paragraph" w:styleId="ImageRight" w:customStyle="1">
    <w:name w:val="Image Right"/>
    <w:basedOn w:val="ImageLeft"/>
    <w:next w:val="Block1"/>
    <w:qFormat/>
    <w:pPr>
      <w:pBdr/>
      <w:spacing/>
      <w:jc w:val="right"/>
    </w:pPr>
    <w:rPr/>
  </w:style>
  <w:style w:type="character" w:styleId="Hyperlink">
    <w:name w:val="Hyperlink"/>
    <w:basedOn w:val="DefaultParagraphFont"/>
    <w:uiPriority w:val="99"/>
    <w:unhideWhenUsed/>
    <w:rPr>
      <w:color w:val="4472C4"/>
      <w:u w:val="none"/>
    </w:rPr>
  </w:style>
  <w:style w:type="paragraph" w:styleId="BlockCenter" w:customStyle="1">
    <w:name w:val="Block Center"/>
    <w:basedOn w:val="Block1"/>
    <w:qFormat/>
    <w:pPr>
      <w:pBdr/>
      <w:spacing/>
      <w:jc w:val="center"/>
    </w:pPr>
    <w:rPr/>
  </w:style>
  <w:style w:type="paragraph" w:styleId="BodyText">
    <w:name w:val="Body Text"/>
    <w:basedOn w:val="Normal"/>
    <w:link w:val="BodyTextChar"/>
    <w:uiPriority w:val="99"/>
    <w:semiHidden/>
    <w:pPr>
      <w:pBdr/>
      <w:spacing/>
    </w:pPr>
    <w:rPr/>
  </w:style>
  <w:style w:type="character" w:styleId="BodyTextChar" w:customStyle="1">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pBdr/>
      <w:spacing/>
      <w:ind w:left="360" w:hanging="360"/>
      <w:contextualSpacing/>
    </w:pPr>
    <w:rPr/>
  </w:style>
  <w:style w:type="paragraph" w:styleId="ListBullet">
    <w:name w:val="List Bullet"/>
    <w:basedOn w:val="Normal"/>
    <w:uiPriority w:val="99"/>
    <w:semiHidden/>
    <w:unhideWhenUsed/>
    <w:qFormat/>
    <w:numPr>
      <w:numId w:val="1"/>
    </w:numPr>
    <w:pPr>
      <w:numPr>
        <w:numId w:val="1"/>
      </w:numPr>
      <w:pBdr/>
      <w:spacing/>
      <w:contextualSpacing/>
    </w:pPr>
    <w:rPr/>
  </w:style>
  <w:style w:type="paragraph" w:styleId="ListContinue">
    <w:name w:val="List Continue"/>
    <w:basedOn w:val="Normal"/>
    <w:uiPriority w:val="99"/>
    <w:semiHidden/>
    <w:unhideWhenUsed/>
    <w:pPr>
      <w:pBdr/>
      <w:spacing/>
      <w:ind w:left="360"/>
      <w:contextualSpacing/>
    </w:pPr>
    <w:rPr/>
  </w:style>
  <w:style w:type="paragraph" w:styleId="Block1Center" w:customStyle="1">
    <w:name w:val="Block 1 Center"/>
    <w:basedOn w:val="Block1"/>
    <w:qFormat/>
    <w:pPr>
      <w:pBdr/>
      <w:spacing/>
      <w:jc w:val="center"/>
    </w:pPr>
    <w:rPr/>
  </w:style>
  <w:style w:type="paragraph" w:styleId="Block2Center" w:customStyle="1">
    <w:name w:val="Block 2 Center"/>
    <w:basedOn w:val="Block2"/>
    <w:qFormat/>
    <w:pPr>
      <w:pBdr/>
      <w:spacing/>
      <w:jc w:val="center"/>
    </w:pPr>
    <w:rPr/>
  </w:style>
  <w:style w:type="paragraph" w:styleId="Block3Center" w:customStyle="1">
    <w:name w:val="Block 3 Center"/>
    <w:basedOn w:val="Block3"/>
    <w:qFormat/>
    <w:pPr>
      <w:pBdr/>
      <w:spacing/>
      <w:jc w:val="center"/>
    </w:pPr>
    <w:rPr/>
  </w:style>
  <w:style w:type="paragraph" w:styleId="Block4Center" w:customStyle="1">
    <w:name w:val="Block 4 Center"/>
    <w:basedOn w:val="Block4"/>
    <w:qFormat/>
    <w:pPr>
      <w:pBdr/>
      <w:spacing/>
      <w:jc w:val="center"/>
    </w:pPr>
    <w:rPr/>
  </w:style>
  <w:style w:type="paragraph" w:styleId="Block5Center" w:customStyle="1">
    <w:name w:val="Block 5 Center"/>
    <w:basedOn w:val="Block5"/>
    <w:qFormat/>
    <w:pPr>
      <w:pBdr/>
      <w:spacing/>
      <w:jc w:val="center"/>
    </w:pPr>
    <w:rPr/>
  </w:style>
  <w:style w:type="paragraph" w:styleId="Block6Center" w:customStyle="1">
    <w:name w:val="Block 6 Center"/>
    <w:basedOn w:val="Block6"/>
    <w:qFormat/>
    <w:pPr>
      <w:pBdr/>
      <w:spacing/>
      <w:jc w:val="center"/>
    </w:pPr>
    <w:rPr/>
  </w:style>
  <w:style w:type="paragraph" w:styleId="Block7Center" w:customStyle="1">
    <w:name w:val="Block 7 Center"/>
    <w:basedOn w:val="Block7"/>
    <w:qFormat/>
    <w:pPr>
      <w:pBdr/>
      <w:spacing/>
      <w:jc w:val="center"/>
    </w:pPr>
    <w:rPr/>
  </w:style>
  <w:style w:type="paragraph" w:styleId="Block8Center" w:customStyle="1">
    <w:name w:val="Block 8 Center"/>
    <w:basedOn w:val="Block8"/>
    <w:qFormat/>
    <w:pPr>
      <w:pBdr/>
      <w:spacing/>
      <w:jc w:val="center"/>
    </w:pPr>
    <w:rPr/>
  </w:style>
  <w:style w:type="paragraph" w:styleId="Block9Center" w:customStyle="1">
    <w:name w:val="Block 9 Center"/>
    <w:basedOn w:val="Block9"/>
    <w:qFormat/>
    <w:pPr>
      <w:pBdr/>
      <w:spacing/>
      <w:jc w:val="center"/>
    </w:pPr>
    <w:rPr/>
  </w:style>
  <w:style w:type="paragraph" w:styleId="ListNumber">
    <w:name w:val="List Number"/>
    <w:basedOn w:val="Normal"/>
    <w:uiPriority w:val="99"/>
    <w:semiHidden/>
    <w:unhideWhenUsed/>
    <w:numPr>
      <w:numId w:val="2"/>
    </w:numPr>
    <w:pPr>
      <w:numPr>
        <w:numId w:val="2"/>
      </w:numPr>
      <w:pBdr/>
      <w:spacing/>
      <w:contextualSpacing/>
    </w:pPr>
    <w:rPr/>
  </w:style>
  <w:style w:type="paragraph" w:styleId="TableofFigures">
    <w:name w:val="Table of Figures"/>
    <w:basedOn w:val="Normal"/>
    <w:next w:val="Normal"/>
    <w:uiPriority w:val="99"/>
    <w:semiHidden/>
    <w:unhideWhenUsed/>
    <w:pPr>
      <w:pBdr/>
      <w:spacing w:after="0"/>
    </w:pPr>
    <w:rPr/>
  </w:style>
  <w:style w:type="paragraph" w:styleId="Subtitle">
    <w:name w:val="Subtitle"/>
    <w:basedOn w:val="Normal"/>
    <w:next w:val="Normal"/>
    <w:link w:val="SubtitleChar"/>
    <w:uiPriority w:val="87"/>
    <w:semiHidden/>
    <w:unhideWhenUsed/>
    <w:qFormat/>
    <w:numPr>
      <w:ilvl w:val="1"/>
    </w:numPr>
    <w:pPr>
      <w:numPr>
        <w:ilvl w:val="1"/>
      </w:numPr>
      <w:pBdr/>
      <w:spacing w:after="160"/>
    </w:pPr>
    <w:rPr>
      <w:rFonts w:eastAsiaTheme="minorEastAsia"/>
      <w:color w:val="5A5A5A"/>
      <w:spacing w:val="15"/>
      <w:sz w:val="22"/>
      <w:szCs w:val="22"/>
    </w:rPr>
  </w:style>
  <w:style w:type="character" w:styleId="SubtitleChar" w:customStyle="1">
    <w:name w:val="Subtitle Char"/>
    <w:basedOn w:val="DefaultParagraphFont"/>
    <w:link w:val="Subtitle"/>
    <w:uiPriority w:val="87"/>
    <w:semiHidden/>
    <w:rPr>
      <w:rFonts w:ascii="Calibri" w:hAnsi="Calibri" w:eastAsiaTheme="minorEastAsia"/>
      <w:color w:val="5A5A5A"/>
      <w:spacing w:val="15"/>
      <w:sz w:val="22"/>
      <w:szCs w:val="22"/>
    </w:rPr>
  </w:style>
  <w:style w:type="paragraph" w:styleId="Footer">
    <w:name w:val="Footer"/>
    <w:basedOn w:val="Normal"/>
    <w:link w:val="FooterChar"/>
    <w:uiPriority w:val="99"/>
    <w:semiHidden/>
    <w:unhideWhenUsed/>
    <w:pPr>
      <w:pBdr/>
      <w:tabs>
        <w:tab w:val="center" w:pos="4680"/>
        <w:tab w:val="right" w:pos="9360"/>
      </w:tabs>
      <w:spacing w:before="0" w:after="0"/>
    </w:pPr>
    <w:rPr/>
  </w:style>
  <w:style w:type="character" w:styleId="FooterChar" w:customStyle="1">
    <w:name w:val="Footer Char"/>
    <w:basedOn w:val="DefaultParagraphFont"/>
    <w:link w:val="Footer"/>
    <w:uiPriority w:val="99"/>
    <w:semiHidden/>
    <w:rPr>
      <w:rFonts w:ascii="Calibri" w:hAnsi="Calibri"/>
      <w:sz w:val="20"/>
    </w:rPr>
  </w:style>
  <w:style w:type="paragraph" w:styleId="BlockText">
    <w:name w:val="Block Text"/>
    <w:basedOn w:val="Normal"/>
    <w:uiPriority w:val="99"/>
    <w:semiHidden/>
    <w:pPr>
      <w:pBdr>
        <w:top w:val="single" w:color="4472C4" w:sz="2" w:space="10"/>
        <w:left w:val="single" w:color="4472C4" w:sz="2" w:space="10"/>
        <w:bottom w:val="single" w:color="4472C4" w:sz="2" w:space="10"/>
        <w:right w:val="single" w:color="4472C4" w:sz="2" w:space="10"/>
      </w:pBdr>
      <w:spacing/>
      <w:ind w:left="1152" w:right="1152"/>
    </w:pPr>
    <w:rPr>
      <w:rFonts w:eastAsiaTheme="minorEastAsia"/>
      <w:i/>
      <w:iCs/>
      <w:color w:val="4472C4"/>
    </w:rPr>
  </w:style>
  <w:style w:type="paragraph" w:styleId="BodyText2">
    <w:name w:val="Body Text 2"/>
    <w:basedOn w:val="Normal"/>
    <w:link w:val="BodyText2Char"/>
    <w:uiPriority w:val="99"/>
    <w:semiHidden/>
    <w:pPr>
      <w:pBdr/>
      <w:spacing w:line="480" w:lineRule="auto"/>
    </w:pPr>
    <w:rPr/>
  </w:style>
  <w:style w:type="character" w:styleId="BodyText2Char" w:customStyle="1">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pPr>
      <w:pBdr/>
      <w:spacing/>
    </w:pPr>
    <w:rPr>
      <w:sz w:val="16"/>
      <w:szCs w:val="16"/>
    </w:rPr>
  </w:style>
  <w:style w:type="character" w:styleId="BodyText3Char" w:customStyle="1">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pBdr/>
      <w:spacing/>
      <w:ind w:firstLine="360"/>
    </w:pPr>
    <w:rPr/>
  </w:style>
  <w:style w:type="character" w:styleId="BodyTextFirstIndentChar" w:customStyle="1">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pBdr/>
      <w:spacing/>
      <w:ind w:left="360"/>
    </w:pPr>
    <w:rPr/>
  </w:style>
  <w:style w:type="character" w:styleId="BodyTextIndentChar" w:customStyle="1">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pBdr/>
      <w:spacing/>
      <w:ind w:firstLine="360"/>
    </w:pPr>
    <w:rPr/>
  </w:style>
  <w:style w:type="character" w:styleId="BodyTextFirstIndent2Char" w:customStyle="1">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pBdr/>
      <w:spacing w:line="480" w:lineRule="auto"/>
      <w:ind w:left="360"/>
    </w:pPr>
    <w:rPr/>
  </w:style>
  <w:style w:type="character" w:styleId="BodyTextIndent2Char" w:customStyle="1">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pBdr/>
      <w:spacing/>
      <w:ind w:left="360"/>
    </w:pPr>
    <w:rPr>
      <w:sz w:val="16"/>
      <w:szCs w:val="16"/>
    </w:rPr>
  </w:style>
  <w:style w:type="character" w:styleId="BodyTextIndent3Char" w:customStyle="1">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pBdr/>
      <w:spacing w:before="0" w:after="200"/>
    </w:pPr>
    <w:rPr>
      <w:i/>
      <w:iCs/>
      <w:color w:val="44546A"/>
      <w:sz w:val="18"/>
      <w:szCs w:val="18"/>
    </w:rPr>
  </w:style>
  <w:style w:type="paragraph" w:styleId="Closing">
    <w:name w:val="Closing"/>
    <w:basedOn w:val="Normal"/>
    <w:link w:val="ClosingChar"/>
    <w:uiPriority w:val="99"/>
    <w:semiHidden/>
    <w:pPr>
      <w:pBdr/>
      <w:spacing w:before="0" w:after="0"/>
      <w:ind w:left="4320"/>
    </w:pPr>
    <w:rPr/>
  </w:style>
  <w:style w:type="character" w:styleId="ClosingChar" w:customStyle="1">
    <w:name w:val="Closing Char"/>
    <w:basedOn w:val="DefaultParagraphFont"/>
    <w:link w:val="Closing"/>
    <w:uiPriority w:val="99"/>
    <w:semiHidden/>
    <w:rPr>
      <w:rFonts w:ascii="Calibri" w:hAnsi="Calibri"/>
      <w:sz w:val="20"/>
    </w:rPr>
  </w:style>
  <w:style w:type="paragraph" w:styleId="CommentText" w:customStyle="1">
    <w:name w:val="annotation text"/>
    <w:basedOn w:val="Normal"/>
    <w:link w:val="CommentTextChar"/>
    <w:uiPriority w:val="99"/>
    <w:semiHidden/>
    <w:unhideWhenUsed/>
    <w:pPr>
      <w:pBdr/>
      <w:spacing/>
    </w:pPr>
    <w:rPr>
      <w:szCs w:val="20"/>
    </w:rPr>
  </w:style>
  <w:style w:type="character" w:styleId="CommentTextChar" w:customStyle="1">
    <w:name w:val="Comment Text Char"/>
    <w:basedOn w:val="DefaultParagraphFont"/>
    <w:link w:val="annotationtext"/>
    <w:uiPriority w:val="99"/>
    <w:semiHidden/>
    <w:rPr>
      <w:rFonts w:ascii="Calibri" w:hAnsi="Calibri"/>
      <w:sz w:val="20"/>
      <w:szCs w:val="20"/>
    </w:rPr>
  </w:style>
  <w:style w:type="paragraph" w:styleId="CommentSubject" w:customStyle="1">
    <w:name w:val="annotation subject"/>
    <w:basedOn w:val="CommentText"/>
    <w:next w:val="CommentText"/>
    <w:link w:val="CommentSubjectChar"/>
    <w:uiPriority w:val="99"/>
    <w:semiHidden/>
    <w:unhideWhenUsed/>
    <w:pPr>
      <w:pBdr/>
      <w:spacing/>
    </w:pPr>
    <w:rPr>
      <w:b/>
      <w:bCs/>
    </w:rPr>
  </w:style>
  <w:style w:type="character" w:styleId="CommentSubjectChar" w:customStyle="1">
    <w:name w:val="Comment Subject Char"/>
    <w:basedOn w:val="CommentTextChar"/>
    <w:link w:val="annotationsubject"/>
    <w:uiPriority w:val="99"/>
    <w:semiHidden/>
    <w:rPr>
      <w:rFonts w:ascii="Calibri" w:hAnsi="Calibri"/>
      <w:b/>
      <w:bCs/>
      <w:sz w:val="20"/>
      <w:szCs w:val="20"/>
    </w:rPr>
  </w:style>
  <w:style w:type="paragraph" w:styleId="Date">
    <w:name w:val="Date"/>
    <w:basedOn w:val="Normal"/>
    <w:next w:val="Normal"/>
    <w:link w:val="DateChar"/>
    <w:uiPriority w:val="99"/>
    <w:semiHidden/>
    <w:unhideWhenUsed/>
    <w:pPr>
      <w:pBdr/>
      <w:spacing/>
    </w:pPr>
    <w:rPr/>
  </w:style>
  <w:style w:type="character" w:styleId="DateChar" w:customStyle="1">
    <w:name w:val="Date Char"/>
    <w:basedOn w:val="DefaultParagraphFont"/>
    <w:link w:val="Date"/>
    <w:uiPriority w:val="99"/>
    <w:semiHidden/>
    <w:rPr>
      <w:rFonts w:ascii="Calibri" w:hAnsi="Calibri"/>
      <w:sz w:val="20"/>
    </w:rPr>
  </w:style>
  <w:style w:type="character" w:styleId="BookTitle" w:customStyle="1">
    <w:name w:val="Book Title"/>
    <w:basedOn w:val="DefaultParagraphFont"/>
    <w:uiPriority w:val="84"/>
    <w:semiHidden/>
    <w:unhideWhenUsed/>
    <w:qFormat/>
    <w:rPr>
      <w:b/>
      <w:bCs/>
      <w:i/>
      <w:iCs/>
      <w:spacing w:val="5"/>
    </w:rPr>
  </w:style>
  <w:style w:type="character" w:styleId="CommentReference" w:customStyle="1">
    <w:name w:val="annotation reference"/>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pBdr/>
      <w:spacing w:before="0" w:after="0"/>
    </w:pPr>
    <w:rPr>
      <w:rFonts w:cs="Calibri"/>
      <w:sz w:val="16"/>
      <w:szCs w:val="16"/>
    </w:rPr>
  </w:style>
  <w:style w:type="character" w:styleId="DocumentMapChar" w:customStyle="1">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pBdr/>
      <w:spacing w:before="0" w:after="0"/>
    </w:pPr>
    <w:rPr/>
  </w:style>
  <w:style w:type="character" w:styleId="E-mailSignatureChar" w:customStyle="1">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pBdr/>
      <w:spacing w:before="0" w:after="0"/>
    </w:pPr>
    <w:rPr>
      <w:szCs w:val="20"/>
    </w:rPr>
  </w:style>
  <w:style w:type="character" w:styleId="EndnoteTextChar" w:customStyle="1">
    <w:name w:val="Endnote Text Char"/>
    <w:basedOn w:val="DefaultParagraphFont"/>
    <w:link w:val="EndnoteText"/>
    <w:uiPriority w:val="99"/>
    <w:semiHidden/>
    <w:rPr>
      <w:rFonts w:ascii="Calibri" w:hAnsi="Calibri"/>
      <w:sz w:val="20"/>
      <w:szCs w:val="20"/>
    </w:rPr>
  </w:style>
  <w:style w:type="paragraph" w:styleId="EnvelopeAddress" w:customStyle="1">
    <w:name w:val="envelope address"/>
    <w:basedOn w:val="Normal"/>
    <w:uiPriority w:val="99"/>
    <w:semiHidden/>
    <w:unhideWhenUsed/>
    <w:pPr>
      <w:framePr w:w="7920" w:h="1980" w:hSpace="180" w:wrap="auto" w:hAnchor="page" w:xAlign="center" w:yAlign="bottom" w:hRule="exact"/>
      <w:pBdr/>
      <w:spacing w:before="0" w:after="0"/>
      <w:ind w:left="2880"/>
    </w:pPr>
    <w:rPr>
      <w:rFonts w:asciiTheme="majorHAnsi" w:hAnsiTheme="majorHAnsi" w:eastAsiaTheme="majorEastAsia" w:cstheme="majorBidi"/>
      <w:sz w:val="24"/>
    </w:rPr>
  </w:style>
  <w:style w:type="paragraph" w:styleId="EnvelopeReturn" w:customStyle="1">
    <w:name w:val="envelope return"/>
    <w:basedOn w:val="Normal"/>
    <w:uiPriority w:val="99"/>
    <w:semiHidden/>
    <w:unhideWhenUsed/>
    <w:pPr>
      <w:pBdr/>
      <w:spacing w:before="0" w:after="0"/>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semiHidden/>
    <w:unhideWhenUsed/>
    <w:pPr>
      <w:pBdr/>
      <w:tabs>
        <w:tab w:val="center" w:pos="4680"/>
        <w:tab w:val="right" w:pos="9360"/>
      </w:tabs>
      <w:spacing w:before="0" w:after="0"/>
    </w:pPr>
    <w:rPr/>
  </w:style>
  <w:style w:type="character" w:styleId="HeaderChar" w:customStyle="1">
    <w:name w:val="Header Char"/>
    <w:basedOn w:val="DefaultParagraphFont"/>
    <w:link w:val="Header"/>
    <w:uiPriority w:val="99"/>
    <w:semiHidden/>
    <w:rPr>
      <w:rFonts w:ascii="Calibri" w:hAnsi="Calibri"/>
      <w:sz w:val="20"/>
    </w:rPr>
  </w:style>
  <w:style w:type="paragraph" w:styleId="NoteHeading">
    <w:name w:val="Note Heading"/>
    <w:basedOn w:val="Normal"/>
    <w:next w:val="Normal"/>
    <w:link w:val="NoteHeadingChar"/>
    <w:uiPriority w:val="99"/>
    <w:semiHidden/>
    <w:unhideWhenUsed/>
    <w:pPr>
      <w:pBdr/>
      <w:spacing w:before="0" w:after="0"/>
    </w:pPr>
    <w:rPr/>
  </w:style>
  <w:style w:type="character" w:styleId="NoteHeadingChar" w:customStyle="1">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numPr>
      <w:numId w:val="3"/>
    </w:numPr>
    <w:pPr>
      <w:numPr>
        <w:numId w:val="3"/>
      </w:numPr>
      <w:pBdr/>
      <w:spacing/>
      <w:contextualSpacing/>
    </w:pPr>
    <w:rPr/>
  </w:style>
  <w:style w:type="paragraph" w:styleId="ListBullet3">
    <w:name w:val="List Bullet 3"/>
    <w:basedOn w:val="Normal"/>
    <w:uiPriority w:val="99"/>
    <w:semiHidden/>
    <w:unhideWhenUsed/>
    <w:numPr>
      <w:numId w:val="4"/>
    </w:numPr>
    <w:pPr>
      <w:numPr>
        <w:numId w:val="4"/>
      </w:numPr>
      <w:pBdr/>
      <w:spacing/>
      <w:contextualSpacing/>
    </w:pPr>
    <w:rPr/>
  </w:style>
  <w:style w:type="paragraph" w:styleId="ListBullet4">
    <w:name w:val="List Bullet 4"/>
    <w:basedOn w:val="Normal"/>
    <w:uiPriority w:val="99"/>
    <w:semiHidden/>
    <w:unhideWhenUsed/>
    <w:numPr>
      <w:numId w:val="5"/>
    </w:numPr>
    <w:pPr>
      <w:numPr>
        <w:numId w:val="5"/>
      </w:numPr>
      <w:pBdr/>
      <w:spacing/>
      <w:contextualSpacing/>
    </w:pPr>
    <w:rPr/>
  </w:style>
  <w:style w:type="paragraph" w:styleId="ListBullet5">
    <w:name w:val="List Bullet 5"/>
    <w:basedOn w:val="Normal"/>
    <w:uiPriority w:val="99"/>
    <w:semiHidden/>
    <w:unhideWhenUsed/>
    <w:numPr>
      <w:numId w:val="6"/>
    </w:numPr>
    <w:pPr>
      <w:numPr>
        <w:numId w:val="6"/>
      </w:numPr>
      <w:pBdr/>
      <w:spacing/>
      <w:contextualSpacing/>
    </w:pPr>
    <w:rPr/>
  </w:style>
  <w:style w:type="paragraph" w:styleId="ListContinue2">
    <w:name w:val="List Continue 2"/>
    <w:basedOn w:val="Normal"/>
    <w:uiPriority w:val="99"/>
    <w:semiHidden/>
    <w:unhideWhenUsed/>
    <w:pPr>
      <w:pBdr/>
      <w:spacing/>
      <w:ind w:left="720"/>
      <w:contextualSpacing/>
    </w:pPr>
    <w:rPr/>
  </w:style>
  <w:style w:type="paragraph" w:styleId="ListContinue3">
    <w:name w:val="List Continue 3"/>
    <w:basedOn w:val="Normal"/>
    <w:uiPriority w:val="99"/>
    <w:semiHidden/>
    <w:unhideWhenUsed/>
    <w:qFormat/>
    <w:pPr>
      <w:pBdr/>
      <w:spacing/>
      <w:ind w:left="1080"/>
      <w:contextualSpacing/>
    </w:pPr>
    <w:rPr/>
  </w:style>
  <w:style w:type="paragraph" w:styleId="ListContinue4">
    <w:name w:val="List Continue 4"/>
    <w:basedOn w:val="Normal"/>
    <w:uiPriority w:val="99"/>
    <w:semiHidden/>
    <w:unhideWhenUsed/>
    <w:qFormat/>
    <w:pPr>
      <w:pBdr/>
      <w:spacing/>
      <w:ind w:left="1440"/>
      <w:contextualSpacing/>
    </w:pPr>
    <w:rPr/>
  </w:style>
  <w:style w:type="paragraph" w:styleId="ListContinue5">
    <w:name w:val="List Continue 5"/>
    <w:basedOn w:val="Normal"/>
    <w:uiPriority w:val="99"/>
    <w:semiHidden/>
    <w:unhideWhenUsed/>
    <w:qFormat/>
    <w:pPr>
      <w:pBdr/>
      <w:spacing/>
      <w:ind w:left="1800"/>
      <w:contextualSpacing/>
    </w:pPr>
    <w:rPr/>
  </w:style>
  <w:style w:type="paragraph" w:styleId="ListNumber2">
    <w:name w:val="List Number 2"/>
    <w:basedOn w:val="Normal"/>
    <w:uiPriority w:val="99"/>
    <w:semiHidden/>
    <w:unhideWhenUsed/>
    <w:qFormat/>
    <w:numPr>
      <w:numId w:val="7"/>
    </w:numPr>
    <w:pPr>
      <w:numPr>
        <w:numId w:val="7"/>
      </w:numPr>
      <w:pBdr/>
      <w:spacing/>
      <w:contextualSpacing/>
    </w:pPr>
    <w:rPr/>
  </w:style>
  <w:style w:type="paragraph" w:styleId="ListNumber3">
    <w:name w:val="List Number 3"/>
    <w:basedOn w:val="Normal"/>
    <w:uiPriority w:val="99"/>
    <w:semiHidden/>
    <w:unhideWhenUsed/>
    <w:qFormat/>
    <w:numPr>
      <w:numId w:val="8"/>
    </w:numPr>
    <w:pPr>
      <w:numPr>
        <w:numId w:val="8"/>
      </w:numPr>
      <w:pBdr/>
      <w:spacing/>
      <w:contextualSpacing/>
    </w:pPr>
    <w:rPr/>
  </w:style>
  <w:style w:type="paragraph" w:styleId="ListNumber4">
    <w:name w:val="List Number 4"/>
    <w:basedOn w:val="Normal"/>
    <w:uiPriority w:val="99"/>
    <w:semiHidden/>
    <w:unhideWhenUsed/>
    <w:qFormat/>
    <w:numPr>
      <w:numId w:val="9"/>
    </w:numPr>
    <w:pPr>
      <w:numPr>
        <w:numId w:val="9"/>
      </w:numPr>
      <w:pBdr/>
      <w:spacing/>
      <w:contextualSpacing/>
    </w:pPr>
    <w:rPr/>
  </w:style>
  <w:style w:type="paragraph" w:styleId="ListNumber5">
    <w:name w:val="List Number 5"/>
    <w:basedOn w:val="Normal"/>
    <w:uiPriority w:val="99"/>
    <w:semiHidden/>
    <w:unhideWhenUsed/>
    <w:qFormat/>
    <w:numPr>
      <w:numId w:val="10"/>
    </w:numPr>
    <w:pPr>
      <w:numPr>
        <w:numId w:val="10"/>
      </w:numPr>
      <w:pBdr/>
      <w:spacing/>
      <w:contextualSpacing/>
    </w:pPr>
    <w:rPr/>
  </w:style>
  <w:style w:type="paragraph" w:styleId="TOCHeading" w:customStyle="1">
    <w:name w:val="TOC Heading"/>
    <w:basedOn w:val="Heading1"/>
    <w:next w:val="Normal"/>
    <w:uiPriority w:val="69"/>
    <w:semiHidden/>
    <w:unhideWhenUsed/>
    <w:qFormat/>
    <w:pPr>
      <w:pBd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pBdr/>
      <w:spacing w:before="120"/>
    </w:pPr>
    <w:rPr>
      <w:rFonts w:eastAsiaTheme="majorEastAsia" w:cstheme="majorBidi"/>
      <w:b/>
      <w:bCs/>
      <w:sz w:val="24"/>
    </w:rPr>
  </w:style>
  <w:style w:type="paragraph" w:styleId="IndexHeading">
    <w:name w:val="Index Heading"/>
    <w:basedOn w:val="Normal"/>
    <w:next w:val="Index1"/>
    <w:uiPriority w:val="99"/>
    <w:semiHidden/>
    <w:unhideWhenUsed/>
    <w:qFormat/>
    <w:pPr>
      <w:pBdr/>
      <w:spacing/>
    </w:pPr>
    <w:rPr>
      <w:rFonts w:eastAsiaTheme="majorEastAsia" w:cstheme="majorBidi"/>
      <w:b/>
      <w:bCs/>
    </w:rPr>
  </w:style>
  <w:style w:type="paragraph" w:styleId="TableofAuthorities">
    <w:name w:val="Table of Authorities"/>
    <w:basedOn w:val="Normal"/>
    <w:next w:val="Normal"/>
    <w:uiPriority w:val="99"/>
    <w:semiHidden/>
    <w:unhideWhenUsed/>
    <w:pPr>
      <w:pBdr/>
      <w:spacing w:after="0"/>
      <w:ind w:left="200" w:hanging="200"/>
    </w:pPr>
    <w:rPr/>
  </w:style>
  <w:style w:type="table" w:styleId="NormalTable_8eeaae7d-2ee6-41f3-ae66-94847afb1135" w:customStyle="1">
    <w:name w:val="Normal Table_8eeaae7d-2ee6-41f3-ae66-94847afb1135"/>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 w:customStyle="1">
    <w:name w:val="Table 1"/>
    <w:basedOn w:val="NormalTable_8eeaae7d-2ee6-41f3-ae66-94847afb1135"/>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36b3d631-3334-47c8-a26e-485e93c5a847" w:customStyle="1">
    <w:name w:val="Normal Table_36b3d631-3334-47c8-a26e-485e93c5a847"/>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40c68376-4c34-45ac-b937-19d8f017c31c" w:customStyle="1">
    <w:name w:val="Table 1_40c68376-4c34-45ac-b937-19d8f017c31c"/>
    <w:basedOn w:val="NormalTable_36b3d631-3334-47c8-a26e-485e93c5a847"/>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 w:customStyle="1">
    <w:name w:val="Table 2"/>
    <w:basedOn w:val="Table1_40c68376-4c34-45ac-b937-19d8f017c31c"/>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7f887e79-9018-4802-9919-c5aa0a8bf49d" w:customStyle="1">
    <w:name w:val="Normal Table_7f887e79-9018-4802-9919-c5aa0a8bf49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97a8bd7d-9b7f-4bc0-97c0-eb3761e13199" w:customStyle="1">
    <w:name w:val="Table 1_97a8bd7d-9b7f-4bc0-97c0-eb3761e13199"/>
    <w:basedOn w:val="NormalTable_7f887e79-9018-4802-9919-c5aa0a8bf49d"/>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31c6d953-1063-44a1-b8ec-563d044ff763" w:customStyle="1">
    <w:name w:val="Table 2_31c6d953-1063-44a1-b8ec-563d044ff763"/>
    <w:basedOn w:val="Table1_97a8bd7d-9b7f-4bc0-97c0-eb3761e13199"/>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 w:customStyle="1">
    <w:name w:val="Table 3"/>
    <w:basedOn w:val="Table2_31c6d953-1063-44a1-b8ec-563d044ff763"/>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d7d054f3-76be-41ab-a792-84bf8b71c301" w:customStyle="1">
    <w:name w:val="Normal Table_d7d054f3-76be-41ab-a792-84bf8b71c301"/>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2f5d6c03-792c-4cca-aadd-bd864bdcf84e" w:customStyle="1">
    <w:name w:val="Table 1_2f5d6c03-792c-4cca-aadd-bd864bdcf84e"/>
    <w:basedOn w:val="NormalTable_d7d054f3-76be-41ab-a792-84bf8b71c301"/>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ea762846-359d-4725-8512-ffb172f67728" w:customStyle="1">
    <w:name w:val="Table 2_ea762846-359d-4725-8512-ffb172f67728"/>
    <w:basedOn w:val="Table1_2f5d6c03-792c-4cca-aadd-bd864bdcf84e"/>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f6eab56a-8ee0-418e-90b8-cedeb02d5b39" w:customStyle="1">
    <w:name w:val="Table 3_f6eab56a-8ee0-418e-90b8-cedeb02d5b39"/>
    <w:basedOn w:val="Table2_ea762846-359d-4725-8512-ffb172f67728"/>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 w:customStyle="1">
    <w:name w:val="Table 4"/>
    <w:basedOn w:val="Table3_f6eab56a-8ee0-418e-90b8-cedeb02d5b39"/>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90cbc745-b247-4328-8af5-27879a2b1d1b" w:customStyle="1">
    <w:name w:val="Normal Table_90cbc745-b247-4328-8af5-27879a2b1d1b"/>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decd5038-7303-48ac-b959-4ccbe80e9830" w:customStyle="1">
    <w:name w:val="Table 1_decd5038-7303-48ac-b959-4ccbe80e9830"/>
    <w:basedOn w:val="NormalTable_90cbc745-b247-4328-8af5-27879a2b1d1b"/>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110e202b-7d5d-41ff-bac2-616490e81104" w:customStyle="1">
    <w:name w:val="Table 2_110e202b-7d5d-41ff-bac2-616490e81104"/>
    <w:basedOn w:val="Table1_decd5038-7303-48ac-b959-4ccbe80e9830"/>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00ad5e46-878d-4fc5-83d6-110ba6af3db5" w:customStyle="1">
    <w:name w:val="Table 3_00ad5e46-878d-4fc5-83d6-110ba6af3db5"/>
    <w:basedOn w:val="Table2_110e202b-7d5d-41ff-bac2-616490e81104"/>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0f572aa6-7772-4cb1-af11-4d88807b9c59" w:customStyle="1">
    <w:name w:val="Table 4_0f572aa6-7772-4cb1-af11-4d88807b9c59"/>
    <w:basedOn w:val="Table3_00ad5e46-878d-4fc5-83d6-110ba6af3db5"/>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 w:customStyle="1">
    <w:name w:val="Table 5"/>
    <w:basedOn w:val="Table4_0f572aa6-7772-4cb1-af11-4d88807b9c59"/>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c2fc3d96-df99-442c-a0fb-ee79ff4ce802" w:customStyle="1">
    <w:name w:val="Normal Table_c2fc3d96-df99-442c-a0fb-ee79ff4ce802"/>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1082e593-990c-42be-abf1-4374cacf7afa" w:customStyle="1">
    <w:name w:val="Table 1_1082e593-990c-42be-abf1-4374cacf7afa"/>
    <w:basedOn w:val="NormalTable_c2fc3d96-df99-442c-a0fb-ee79ff4ce802"/>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8a8af5ca-1fae-407f-9191-2e4ab986e07c" w:customStyle="1">
    <w:name w:val="Table 2_8a8af5ca-1fae-407f-9191-2e4ab986e07c"/>
    <w:basedOn w:val="Table1_1082e593-990c-42be-abf1-4374cacf7afa"/>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89f74c9c-8aa9-466b-91d5-3661bb160373" w:customStyle="1">
    <w:name w:val="Table 3_89f74c9c-8aa9-466b-91d5-3661bb160373"/>
    <w:basedOn w:val="Table2_8a8af5ca-1fae-407f-9191-2e4ab986e07c"/>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5baaddf6-8866-493a-ae67-e894ffa3447b" w:customStyle="1">
    <w:name w:val="Table 4_5baaddf6-8866-493a-ae67-e894ffa3447b"/>
    <w:basedOn w:val="Table3_89f74c9c-8aa9-466b-91d5-3661bb160373"/>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d67ce6ab-a453-4e26-96e6-08f56a5bfa12" w:customStyle="1">
    <w:name w:val="Table 5_d67ce6ab-a453-4e26-96e6-08f56a5bfa12"/>
    <w:basedOn w:val="Table4_5baaddf6-8866-493a-ae67-e894ffa3447b"/>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 w:customStyle="1">
    <w:name w:val="Table 6"/>
    <w:basedOn w:val="Table5_d67ce6ab-a453-4e26-96e6-08f56a5bfa12"/>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NormalTable_eb782a2e-9c05-459c-ba0c-15e50077287b" w:customStyle="1">
    <w:name w:val="Normal Table_eb782a2e-9c05-459c-ba0c-15e50077287b"/>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92653c78-804b-42b0-bd8d-752c1a11034e" w:customStyle="1">
    <w:name w:val="Table 1_92653c78-804b-42b0-bd8d-752c1a11034e"/>
    <w:basedOn w:val="NormalTable_eb782a2e-9c05-459c-ba0c-15e50077287b"/>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2a1046f1-83a4-4a48-9a03-d5a7d394669b" w:customStyle="1">
    <w:name w:val="Table 2_2a1046f1-83a4-4a48-9a03-d5a7d394669b"/>
    <w:basedOn w:val="Table1_92653c78-804b-42b0-bd8d-752c1a11034e"/>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8edbd943-6c58-4003-91de-77b02a38058b" w:customStyle="1">
    <w:name w:val="Table 3_8edbd943-6c58-4003-91de-77b02a38058b"/>
    <w:basedOn w:val="Table2_2a1046f1-83a4-4a48-9a03-d5a7d394669b"/>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10ef4644-7e52-435a-a736-024934c11b84" w:customStyle="1">
    <w:name w:val="Table 4_10ef4644-7e52-435a-a736-024934c11b84"/>
    <w:basedOn w:val="Table3_8edbd943-6c58-4003-91de-77b02a38058b"/>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78a8e6d8-b59f-4aeb-a347-6c9e89b0a26f" w:customStyle="1">
    <w:name w:val="Table 5_78a8e6d8-b59f-4aeb-a347-6c9e89b0a26f"/>
    <w:basedOn w:val="Table4_10ef4644-7e52-435a-a736-024934c11b84"/>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c3eb6cf7-3c8e-4cb0-9500-87ad0a719cd4" w:customStyle="1">
    <w:name w:val="Table 6_c3eb6cf7-3c8e-4cb0-9500-87ad0a719cd4"/>
    <w:basedOn w:val="Table5_78a8e6d8-b59f-4aeb-a347-6c9e89b0a26f"/>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 w:customStyle="1">
    <w:name w:val="Table 7"/>
    <w:basedOn w:val="Table6_c3eb6cf7-3c8e-4cb0-9500-87ad0a719cd4"/>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a5d789d3-9aa8-44e6-9461-8ab416a66641" w:customStyle="1">
    <w:name w:val="Normal Table_a5d789d3-9aa8-44e6-9461-8ab416a66641"/>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2821ad23-5aad-479b-bc38-98261c56f2bb" w:customStyle="1">
    <w:name w:val="Table 1_2821ad23-5aad-479b-bc38-98261c56f2bb"/>
    <w:basedOn w:val="NormalTable_a5d789d3-9aa8-44e6-9461-8ab416a66641"/>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e8b0c438-f148-416d-b86e-3f17b6e0b0cf" w:customStyle="1">
    <w:name w:val="Table 2_e8b0c438-f148-416d-b86e-3f17b6e0b0cf"/>
    <w:basedOn w:val="Table1_2821ad23-5aad-479b-bc38-98261c56f2bb"/>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162792ca-0dd2-42f4-bc85-613081613413" w:customStyle="1">
    <w:name w:val="Table 3_162792ca-0dd2-42f4-bc85-613081613413"/>
    <w:basedOn w:val="Table2_e8b0c438-f148-416d-b86e-3f17b6e0b0cf"/>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de4c6f0b-fb03-4865-9a0a-f473c0416b76" w:customStyle="1">
    <w:name w:val="Table 4_de4c6f0b-fb03-4865-9a0a-f473c0416b76"/>
    <w:basedOn w:val="Table3_162792ca-0dd2-42f4-bc85-613081613413"/>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2bb70f72-4d70-46cc-a4aa-9ab0740380c2" w:customStyle="1">
    <w:name w:val="Table 5_2bb70f72-4d70-46cc-a4aa-9ab0740380c2"/>
    <w:basedOn w:val="Table4_de4c6f0b-fb03-4865-9a0a-f473c0416b76"/>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dbfb310e-9c0f-4e75-8e15-ab1048722f03" w:customStyle="1">
    <w:name w:val="Table 6_dbfb310e-9c0f-4e75-8e15-ab1048722f03"/>
    <w:basedOn w:val="Table5_2bb70f72-4d70-46cc-a4aa-9ab0740380c2"/>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_9b6f1c94-9daf-4760-8fd3-9ed378a724ed" w:customStyle="1">
    <w:name w:val="Table 7_9b6f1c94-9daf-4760-8fd3-9ed378a724ed"/>
    <w:basedOn w:val="Table6_dbfb310e-9c0f-4e75-8e15-ab1048722f03"/>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8" w:customStyle="1">
    <w:name w:val="Table 8"/>
    <w:basedOn w:val="Table7_9b6f1c94-9daf-4760-8fd3-9ed378a724ed"/>
    <w:uiPriority w:val="99"/>
    <w:pPr>
      <w:pBdr/>
      <w:spacing/>
    </w:pPr>
    <w:rPr/>
    <w:tblPr>
      <w:tblInd w:w="3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d3192a0b-2a82-468d-83fc-658b1e1df830" w:customStyle="1">
    <w:name w:val="Normal Table_d3192a0b-2a82-468d-83fc-658b1e1df830"/>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6129fbf4-24ad-44ae-89f0-8ffde6d91fb1" w:customStyle="1">
    <w:name w:val="Table 1_6129fbf4-24ad-44ae-89f0-8ffde6d91fb1"/>
    <w:basedOn w:val="NormalTable_d3192a0b-2a82-468d-83fc-658b1e1df830"/>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e6924717-f5bc-4955-8580-051b75d922be" w:customStyle="1">
    <w:name w:val="Table 2_e6924717-f5bc-4955-8580-051b75d922be"/>
    <w:basedOn w:val="Table1_6129fbf4-24ad-44ae-89f0-8ffde6d91fb1"/>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0418b8b6-9c7b-4bf7-93f1-b9bbdff55bb8" w:customStyle="1">
    <w:name w:val="Table 3_0418b8b6-9c7b-4bf7-93f1-b9bbdff55bb8"/>
    <w:basedOn w:val="Table2_e6924717-f5bc-4955-8580-051b75d922be"/>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587d1194-521f-4ee6-ad7e-e4d82a832de8" w:customStyle="1">
    <w:name w:val="Table 4_587d1194-521f-4ee6-ad7e-e4d82a832de8"/>
    <w:basedOn w:val="Table3_0418b8b6-9c7b-4bf7-93f1-b9bbdff55bb8"/>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c3e66db7-0106-4105-8ef3-d47a78aa2e8c" w:customStyle="1">
    <w:name w:val="Table 5_c3e66db7-0106-4105-8ef3-d47a78aa2e8c"/>
    <w:basedOn w:val="Table4_587d1194-521f-4ee6-ad7e-e4d82a832de8"/>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5ace35c4-cb5e-4613-9b45-c5f99324d8b6" w:customStyle="1">
    <w:name w:val="Table 6_5ace35c4-cb5e-4613-9b45-c5f99324d8b6"/>
    <w:basedOn w:val="Table5_c3e66db7-0106-4105-8ef3-d47a78aa2e8c"/>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_ed36ac24-91ac-4209-94bd-ece61df0e2d1" w:customStyle="1">
    <w:name w:val="Table 7_ed36ac24-91ac-4209-94bd-ece61df0e2d1"/>
    <w:basedOn w:val="Table6_5ace35c4-cb5e-4613-9b45-c5f99324d8b6"/>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8_f02992ab-772a-4bb2-a695-a5f3822cf26d" w:customStyle="1">
    <w:name w:val="Table 8_f02992ab-772a-4bb2-a695-a5f3822cf26d"/>
    <w:basedOn w:val="Table7_ed36ac24-91ac-4209-94bd-ece61df0e2d1"/>
    <w:uiPriority w:val="99"/>
    <w:pPr>
      <w:pBdr/>
      <w:spacing/>
    </w:pPr>
    <w:rPr/>
    <w:tblPr>
      <w:tblInd w:w="3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9" w:customStyle="1">
    <w:name w:val="Table 9"/>
    <w:basedOn w:val="Table8_f02992ab-772a-4bb2-a695-a5f3822cf26d"/>
    <w:uiPriority w:val="99"/>
    <w:pPr>
      <w:pBdr/>
      <w:spacing/>
    </w:pPr>
    <w:rPr/>
    <w:tblPr>
      <w:tblInd w:w="39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fef7040c-84c0-4f9f-82ac-9f2e26c176ba" w:customStyle="1">
    <w:name w:val="Normal Table_fef7040c-84c0-4f9f-82ac-9f2e26c176ba"/>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 w:customStyle="1">
    <w:name w:val="Table NoRule 1"/>
    <w:basedOn w:val="NormalTable_fef7040c-84c0-4f9f-82ac-9f2e26c176ba"/>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NormalTable_6fc098ba-675f-42da-8074-380ac8fc1581" w:customStyle="1">
    <w:name w:val="Normal Table_6fc098ba-675f-42da-8074-380ac8fc1581"/>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224e12b2-b74b-4e3e-bc1c-ecca5ed19e80" w:customStyle="1">
    <w:name w:val="Table NoRule 1_224e12b2-b74b-4e3e-bc1c-ecca5ed19e80"/>
    <w:basedOn w:val="NormalTable_6fc098ba-675f-42da-8074-380ac8fc1581"/>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 w:customStyle="1">
    <w:name w:val="Table NoRule 2"/>
    <w:basedOn w:val="TableNoRule1_224e12b2-b74b-4e3e-bc1c-ecca5ed19e80"/>
    <w:uiPriority w:val="99"/>
    <w:pPr>
      <w:pBdr/>
      <w:spacing/>
    </w:pPr>
    <w:rPr/>
    <w:tblPr>
      <w:tblInd w:w="475" w:type="dxa"/>
      <w:tblBorders/>
      <w:tblCellMar/>
    </w:tblPr>
    <w:trPr/>
    <w:tcPr>
      <w:tcBorders/>
      <w:shd w:val="clear" w:color="auto" w:fill="auto"/>
      <w:tcMar/>
      <w:vAlign w:val="top"/>
    </w:tcPr>
  </w:style>
  <w:style w:type="table" w:styleId="NormalTable_f74ee578-aa28-4d47-9f04-0afa03eed4dc" w:customStyle="1">
    <w:name w:val="Normal Table_f74ee578-aa28-4d47-9f04-0afa03eed4dc"/>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4d694df1-89e9-47c0-abd3-58df3354a443" w:customStyle="1">
    <w:name w:val="Table NoRule 1_4d694df1-89e9-47c0-abd3-58df3354a443"/>
    <w:basedOn w:val="NormalTable_f74ee578-aa28-4d47-9f04-0afa03eed4dc"/>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4d81528b-f53a-42d2-9365-c84c06033961" w:customStyle="1">
    <w:name w:val="Table NoRule 2_4d81528b-f53a-42d2-9365-c84c06033961"/>
    <w:basedOn w:val="TableNoRule1_4d694df1-89e9-47c0-abd3-58df3354a443"/>
    <w:uiPriority w:val="99"/>
    <w:pPr>
      <w:pBdr/>
      <w:spacing/>
    </w:pPr>
    <w:rPr/>
    <w:tblPr>
      <w:tblInd w:w="475" w:type="dxa"/>
      <w:tblBorders/>
      <w:tblCellMar/>
    </w:tblPr>
    <w:trPr/>
    <w:tcPr>
      <w:tcBorders/>
      <w:shd w:val="clear" w:color="auto" w:fill="auto"/>
      <w:tcMar/>
      <w:vAlign w:val="top"/>
    </w:tcPr>
  </w:style>
  <w:style w:type="table" w:styleId="TableNoRule3" w:customStyle="1">
    <w:name w:val="Table NoRule 3"/>
    <w:basedOn w:val="TableNoRule2_4d81528b-f53a-42d2-9365-c84c06033961"/>
    <w:uiPriority w:val="99"/>
    <w:pPr>
      <w:pBdr/>
      <w:spacing/>
    </w:pPr>
    <w:rPr/>
    <w:tblPr>
      <w:tblInd w:w="950" w:type="dxa"/>
      <w:tblBorders/>
      <w:tblCellMar/>
    </w:tblPr>
    <w:trPr/>
    <w:tcPr>
      <w:tcBorders/>
      <w:shd w:val="clear" w:color="auto" w:fill="auto"/>
      <w:tcMar/>
      <w:vAlign w:val="top"/>
    </w:tcPr>
  </w:style>
  <w:style w:type="table" w:styleId="NormalTable_403f2cc9-fe07-40fa-aca5-c64e0556b72a" w:customStyle="1">
    <w:name w:val="Normal Table_403f2cc9-fe07-40fa-aca5-c64e0556b72a"/>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d5861247-7d46-4f9c-97f4-b2bd190c66d6" w:customStyle="1">
    <w:name w:val="Table NoRule 1_d5861247-7d46-4f9c-97f4-b2bd190c66d6"/>
    <w:basedOn w:val="NormalTable_403f2cc9-fe07-40fa-aca5-c64e0556b72a"/>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ea2ee507-a76d-4a28-80dc-70eeefa25491" w:customStyle="1">
    <w:name w:val="Table NoRule 2_ea2ee507-a76d-4a28-80dc-70eeefa25491"/>
    <w:basedOn w:val="TableNoRule1_d5861247-7d46-4f9c-97f4-b2bd190c66d6"/>
    <w:uiPriority w:val="99"/>
    <w:pPr>
      <w:pBdr/>
      <w:spacing/>
    </w:pPr>
    <w:rPr/>
    <w:tblPr>
      <w:tblInd w:w="475" w:type="dxa"/>
      <w:tblBorders/>
      <w:tblCellMar/>
    </w:tblPr>
    <w:trPr/>
    <w:tcPr>
      <w:tcBorders/>
      <w:shd w:val="clear" w:color="auto" w:fill="auto"/>
      <w:tcMar/>
      <w:vAlign w:val="top"/>
    </w:tcPr>
  </w:style>
  <w:style w:type="table" w:styleId="TableNoRule3_d10d9a11-b027-46bb-bd6b-834d95a78ff4" w:customStyle="1">
    <w:name w:val="Table NoRule 3_d10d9a11-b027-46bb-bd6b-834d95a78ff4"/>
    <w:basedOn w:val="TableNoRule2_ea2ee507-a76d-4a28-80dc-70eeefa25491"/>
    <w:uiPriority w:val="99"/>
    <w:pPr>
      <w:pBdr/>
      <w:spacing/>
    </w:pPr>
    <w:rPr/>
    <w:tblPr>
      <w:tblInd w:w="950" w:type="dxa"/>
      <w:tblBorders/>
      <w:tblCellMar/>
    </w:tblPr>
    <w:trPr/>
    <w:tcPr>
      <w:tcBorders/>
      <w:shd w:val="clear" w:color="auto" w:fill="auto"/>
      <w:tcMar/>
      <w:vAlign w:val="top"/>
    </w:tcPr>
  </w:style>
  <w:style w:type="table" w:styleId="TableNoRule4" w:customStyle="1">
    <w:name w:val="Table NoRule 4"/>
    <w:basedOn w:val="TableNoRule3_d10d9a11-b027-46bb-bd6b-834d95a78ff4"/>
    <w:uiPriority w:val="99"/>
    <w:pPr>
      <w:pBdr/>
      <w:spacing/>
    </w:pPr>
    <w:rPr/>
    <w:tblPr>
      <w:tblInd w:w="1440" w:type="dxa"/>
      <w:tblBorders/>
      <w:tblCellMar/>
    </w:tblPr>
    <w:trPr/>
    <w:tcPr>
      <w:tcBorders/>
      <w:shd w:val="clear" w:color="auto" w:fill="auto"/>
      <w:tcMar/>
      <w:vAlign w:val="top"/>
    </w:tcPr>
  </w:style>
  <w:style w:type="table" w:styleId="NormalTable_e16c799a-704f-41ed-9dd5-4315edac1127" w:customStyle="1">
    <w:name w:val="Normal Table_e16c799a-704f-41ed-9dd5-4315edac1127"/>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4b64a204-adfc-4d81-8408-fc71413312d4" w:customStyle="1">
    <w:name w:val="Table NoRule 1_4b64a204-adfc-4d81-8408-fc71413312d4"/>
    <w:basedOn w:val="NormalTable_e16c799a-704f-41ed-9dd5-4315edac1127"/>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9f3b98fb-9a9c-4177-8cfa-740cda8e5072" w:customStyle="1">
    <w:name w:val="Table NoRule 2_9f3b98fb-9a9c-4177-8cfa-740cda8e5072"/>
    <w:basedOn w:val="TableNoRule1_4b64a204-adfc-4d81-8408-fc71413312d4"/>
    <w:uiPriority w:val="99"/>
    <w:pPr>
      <w:pBdr/>
      <w:spacing/>
    </w:pPr>
    <w:rPr/>
    <w:tblPr>
      <w:tblInd w:w="475" w:type="dxa"/>
      <w:tblBorders/>
      <w:tblCellMar/>
    </w:tblPr>
    <w:trPr/>
    <w:tcPr>
      <w:tcBorders/>
      <w:shd w:val="clear" w:color="auto" w:fill="auto"/>
      <w:tcMar/>
      <w:vAlign w:val="top"/>
    </w:tcPr>
  </w:style>
  <w:style w:type="table" w:styleId="TableNoRule3_a660f52c-8550-43e2-b745-f57c31594ebe" w:customStyle="1">
    <w:name w:val="Table NoRule 3_a660f52c-8550-43e2-b745-f57c31594ebe"/>
    <w:basedOn w:val="TableNoRule2_9f3b98fb-9a9c-4177-8cfa-740cda8e5072"/>
    <w:uiPriority w:val="99"/>
    <w:pPr>
      <w:pBdr/>
      <w:spacing/>
    </w:pPr>
    <w:rPr/>
    <w:tblPr>
      <w:tblInd w:w="950" w:type="dxa"/>
      <w:tblBorders/>
      <w:tblCellMar/>
    </w:tblPr>
    <w:trPr/>
    <w:tcPr>
      <w:tcBorders/>
      <w:shd w:val="clear" w:color="auto" w:fill="auto"/>
      <w:tcMar/>
      <w:vAlign w:val="top"/>
    </w:tcPr>
  </w:style>
  <w:style w:type="table" w:styleId="TableNoRule4_b4ec5f51-3354-4f2b-b84c-27aafc88b386" w:customStyle="1">
    <w:name w:val="Table NoRule 4_b4ec5f51-3354-4f2b-b84c-27aafc88b386"/>
    <w:basedOn w:val="TableNoRule3_a660f52c-8550-43e2-b745-f57c31594ebe"/>
    <w:uiPriority w:val="99"/>
    <w:pPr>
      <w:pBdr/>
      <w:spacing/>
    </w:pPr>
    <w:rPr/>
    <w:tblPr>
      <w:tblInd w:w="1440" w:type="dxa"/>
      <w:tblBorders/>
      <w:tblCellMar/>
    </w:tblPr>
    <w:trPr/>
    <w:tcPr>
      <w:tcBorders/>
      <w:shd w:val="clear" w:color="auto" w:fill="auto"/>
      <w:tcMar/>
      <w:vAlign w:val="top"/>
    </w:tcPr>
  </w:style>
  <w:style w:type="table" w:styleId="TableNoRule5" w:customStyle="1">
    <w:name w:val="Table NoRule 5"/>
    <w:basedOn w:val="TableNoRule4_b4ec5f51-3354-4f2b-b84c-27aafc88b386"/>
    <w:uiPriority w:val="99"/>
    <w:pPr>
      <w:pBdr/>
      <w:spacing/>
    </w:pPr>
    <w:rPr/>
    <w:tblPr>
      <w:tblInd w:w="1915" w:type="dxa"/>
      <w:tblBorders/>
      <w:tblCellMar/>
    </w:tblPr>
    <w:trPr/>
    <w:tcPr>
      <w:tcBorders/>
      <w:shd w:val="clear" w:color="auto" w:fill="auto"/>
      <w:tcMar/>
      <w:vAlign w:val="top"/>
    </w:tcPr>
  </w:style>
  <w:style w:type="table" w:styleId="NormalTable_b958a9b2-6f08-440a-a273-fab371ce37b8" w:customStyle="1">
    <w:name w:val="Normal Table_b958a9b2-6f08-440a-a273-fab371ce37b8"/>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77a0dcbd-5cd8-4506-aaa1-57a76912bcd5" w:customStyle="1">
    <w:name w:val="Table NoRule 1_77a0dcbd-5cd8-4506-aaa1-57a76912bcd5"/>
    <w:basedOn w:val="NormalTable_b958a9b2-6f08-440a-a273-fab371ce37b8"/>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90efe834-8eae-4bdc-a1e0-2b4641d189dd" w:customStyle="1">
    <w:name w:val="Table NoRule 2_90efe834-8eae-4bdc-a1e0-2b4641d189dd"/>
    <w:basedOn w:val="TableNoRule1_77a0dcbd-5cd8-4506-aaa1-57a76912bcd5"/>
    <w:uiPriority w:val="99"/>
    <w:pPr>
      <w:pBdr/>
      <w:spacing/>
    </w:pPr>
    <w:rPr/>
    <w:tblPr>
      <w:tblInd w:w="475" w:type="dxa"/>
      <w:tblBorders/>
      <w:tblCellMar/>
    </w:tblPr>
    <w:trPr/>
    <w:tcPr>
      <w:tcBorders/>
      <w:shd w:val="clear" w:color="auto" w:fill="auto"/>
      <w:tcMar/>
      <w:vAlign w:val="top"/>
    </w:tcPr>
  </w:style>
  <w:style w:type="table" w:styleId="TableNoRule3_8c8f8dff-4f0e-4f14-b111-178b1efda0bd" w:customStyle="1">
    <w:name w:val="Table NoRule 3_8c8f8dff-4f0e-4f14-b111-178b1efda0bd"/>
    <w:basedOn w:val="TableNoRule2_90efe834-8eae-4bdc-a1e0-2b4641d189dd"/>
    <w:uiPriority w:val="99"/>
    <w:pPr>
      <w:pBdr/>
      <w:spacing/>
    </w:pPr>
    <w:rPr/>
    <w:tblPr>
      <w:tblInd w:w="950" w:type="dxa"/>
      <w:tblBorders/>
      <w:tblCellMar/>
    </w:tblPr>
    <w:trPr/>
    <w:tcPr>
      <w:tcBorders/>
      <w:shd w:val="clear" w:color="auto" w:fill="auto"/>
      <w:tcMar/>
      <w:vAlign w:val="top"/>
    </w:tcPr>
  </w:style>
  <w:style w:type="table" w:styleId="TableNoRule4_32e88dbf-3986-4356-9d91-48da30a0b8c9" w:customStyle="1">
    <w:name w:val="Table NoRule 4_32e88dbf-3986-4356-9d91-48da30a0b8c9"/>
    <w:basedOn w:val="TableNoRule3_8c8f8dff-4f0e-4f14-b111-178b1efda0bd"/>
    <w:uiPriority w:val="99"/>
    <w:pPr>
      <w:pBdr/>
      <w:spacing/>
    </w:pPr>
    <w:rPr/>
    <w:tblPr>
      <w:tblInd w:w="1440" w:type="dxa"/>
      <w:tblBorders/>
      <w:tblCellMar/>
    </w:tblPr>
    <w:trPr/>
    <w:tcPr>
      <w:tcBorders/>
      <w:shd w:val="clear" w:color="auto" w:fill="auto"/>
      <w:tcMar/>
      <w:vAlign w:val="top"/>
    </w:tcPr>
  </w:style>
  <w:style w:type="table" w:styleId="TableNoRule5_acd4f9a1-fb8e-4a7b-bc1d-c1a0632c1d04" w:customStyle="1">
    <w:name w:val="Table NoRule 5_acd4f9a1-fb8e-4a7b-bc1d-c1a0632c1d04"/>
    <w:basedOn w:val="TableNoRule4_32e88dbf-3986-4356-9d91-48da30a0b8c9"/>
    <w:uiPriority w:val="99"/>
    <w:pPr>
      <w:pBdr/>
      <w:spacing/>
    </w:pPr>
    <w:rPr/>
    <w:tblPr>
      <w:tblInd w:w="1915" w:type="dxa"/>
      <w:tblBorders/>
      <w:tblCellMar/>
    </w:tblPr>
    <w:trPr/>
    <w:tcPr>
      <w:tcBorders/>
      <w:shd w:val="clear" w:color="auto" w:fill="auto"/>
      <w:tcMar/>
      <w:vAlign w:val="top"/>
    </w:tcPr>
  </w:style>
  <w:style w:type="table" w:styleId="TableNoRule6" w:customStyle="1">
    <w:name w:val="Table NoRule 6"/>
    <w:basedOn w:val="TableNoRule5_acd4f9a1-fb8e-4a7b-bc1d-c1a0632c1d04"/>
    <w:uiPriority w:val="99"/>
    <w:pPr>
      <w:pBdr/>
      <w:spacing/>
    </w:pPr>
    <w:rPr/>
    <w:tblPr>
      <w:tblInd w:w="2390" w:type="dxa"/>
      <w:tblBorders/>
      <w:tblCellMar/>
    </w:tblPr>
    <w:trPr/>
    <w:tcPr>
      <w:tcBorders/>
      <w:shd w:val="clear" w:color="auto" w:fill="auto"/>
      <w:tcMar/>
      <w:vAlign w:val="top"/>
    </w:tcPr>
  </w:style>
  <w:style w:type="table" w:styleId="NormalTable_a1f68e63-2fa9-4848-963e-2413ee071b7d" w:customStyle="1">
    <w:name w:val="Normal Table_a1f68e63-2fa9-4848-963e-2413ee071b7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024b27fb-8e2e-438d-93c2-933216dda109" w:customStyle="1">
    <w:name w:val="Table NoRule 1_024b27fb-8e2e-438d-93c2-933216dda109"/>
    <w:basedOn w:val="NormalTable_a1f68e63-2fa9-4848-963e-2413ee071b7d"/>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b3157d54-541b-4825-af7b-a082f3bc6ac2" w:customStyle="1">
    <w:name w:val="Table NoRule 2_b3157d54-541b-4825-af7b-a082f3bc6ac2"/>
    <w:basedOn w:val="TableNoRule1_024b27fb-8e2e-438d-93c2-933216dda109"/>
    <w:uiPriority w:val="99"/>
    <w:pPr>
      <w:pBdr/>
      <w:spacing/>
    </w:pPr>
    <w:rPr/>
    <w:tblPr>
      <w:tblInd w:w="475" w:type="dxa"/>
      <w:tblBorders/>
      <w:tblCellMar/>
    </w:tblPr>
    <w:trPr/>
    <w:tcPr>
      <w:tcBorders/>
      <w:shd w:val="clear" w:color="auto" w:fill="auto"/>
      <w:tcMar/>
      <w:vAlign w:val="top"/>
    </w:tcPr>
  </w:style>
  <w:style w:type="table" w:styleId="TableNoRule3_43821c00-4528-4d17-aa0f-1c2dfdf3ab20" w:customStyle="1">
    <w:name w:val="Table NoRule 3_43821c00-4528-4d17-aa0f-1c2dfdf3ab20"/>
    <w:basedOn w:val="TableNoRule2_b3157d54-541b-4825-af7b-a082f3bc6ac2"/>
    <w:uiPriority w:val="99"/>
    <w:pPr>
      <w:pBdr/>
      <w:spacing/>
    </w:pPr>
    <w:rPr/>
    <w:tblPr>
      <w:tblInd w:w="950" w:type="dxa"/>
      <w:tblBorders/>
      <w:tblCellMar/>
    </w:tblPr>
    <w:trPr/>
    <w:tcPr>
      <w:tcBorders/>
      <w:shd w:val="clear" w:color="auto" w:fill="auto"/>
      <w:tcMar/>
      <w:vAlign w:val="top"/>
    </w:tcPr>
  </w:style>
  <w:style w:type="table" w:styleId="TableNoRule4_f386d137-a2c2-48c0-af0b-ebdd1e46f00f" w:customStyle="1">
    <w:name w:val="Table NoRule 4_f386d137-a2c2-48c0-af0b-ebdd1e46f00f"/>
    <w:basedOn w:val="TableNoRule3_43821c00-4528-4d17-aa0f-1c2dfdf3ab20"/>
    <w:uiPriority w:val="99"/>
    <w:pPr>
      <w:pBdr/>
      <w:spacing/>
    </w:pPr>
    <w:rPr/>
    <w:tblPr>
      <w:tblInd w:w="1440" w:type="dxa"/>
      <w:tblBorders/>
      <w:tblCellMar/>
    </w:tblPr>
    <w:trPr/>
    <w:tcPr>
      <w:tcBorders/>
      <w:shd w:val="clear" w:color="auto" w:fill="auto"/>
      <w:tcMar/>
      <w:vAlign w:val="top"/>
    </w:tcPr>
  </w:style>
  <w:style w:type="table" w:styleId="TableNoRule5_5463856b-c721-478a-b717-656bb7ef41c2" w:customStyle="1">
    <w:name w:val="Table NoRule 5_5463856b-c721-478a-b717-656bb7ef41c2"/>
    <w:basedOn w:val="TableNoRule4_f386d137-a2c2-48c0-af0b-ebdd1e46f00f"/>
    <w:uiPriority w:val="99"/>
    <w:pPr>
      <w:pBdr/>
      <w:spacing/>
    </w:pPr>
    <w:rPr/>
    <w:tblPr>
      <w:tblInd w:w="1915" w:type="dxa"/>
      <w:tblBorders/>
      <w:tblCellMar/>
    </w:tblPr>
    <w:trPr/>
    <w:tcPr>
      <w:tcBorders/>
      <w:shd w:val="clear" w:color="auto" w:fill="auto"/>
      <w:tcMar/>
      <w:vAlign w:val="top"/>
    </w:tcPr>
  </w:style>
  <w:style w:type="table" w:styleId="TableNoRule6_0bb8773f-7dde-4f3c-998c-66dd3d2a6307" w:customStyle="1">
    <w:name w:val="Table NoRule 6_0bb8773f-7dde-4f3c-998c-66dd3d2a6307"/>
    <w:basedOn w:val="TableNoRule5_5463856b-c721-478a-b717-656bb7ef41c2"/>
    <w:uiPriority w:val="99"/>
    <w:pPr>
      <w:pBdr/>
      <w:spacing/>
    </w:pPr>
    <w:rPr/>
    <w:tblPr>
      <w:tblInd w:w="2390" w:type="dxa"/>
      <w:tblBorders/>
      <w:tblCellMar/>
    </w:tblPr>
    <w:trPr/>
    <w:tcPr>
      <w:tcBorders/>
      <w:shd w:val="clear" w:color="auto" w:fill="auto"/>
      <w:tcMar/>
      <w:vAlign w:val="top"/>
    </w:tcPr>
  </w:style>
  <w:style w:type="table" w:styleId="TableNoRule7" w:customStyle="1">
    <w:name w:val="Table NoRule 7"/>
    <w:basedOn w:val="TableNoRule6_0bb8773f-7dde-4f3c-998c-66dd3d2a6307"/>
    <w:uiPriority w:val="99"/>
    <w:pPr>
      <w:pBdr/>
      <w:spacing/>
    </w:pPr>
    <w:rPr/>
    <w:tblPr>
      <w:tblInd w:w="2880" w:type="dxa"/>
      <w:tblBorders/>
      <w:tblCellMar/>
    </w:tblPr>
    <w:trPr/>
    <w:tcPr>
      <w:tcBorders/>
      <w:shd w:val="clear" w:color="auto" w:fill="auto"/>
      <w:tcMar/>
      <w:vAlign w:val="top"/>
    </w:tcPr>
  </w:style>
  <w:style w:type="table" w:styleId="NormalTable_80fef179-11e5-4dec-8c42-2c862de8d62e" w:customStyle="1">
    <w:name w:val="Normal Table_80fef179-11e5-4dec-8c42-2c862de8d62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6476a149-dd33-4f7e-b917-0686a9348916" w:customStyle="1">
    <w:name w:val="Table NoRule 1_6476a149-dd33-4f7e-b917-0686a9348916"/>
    <w:basedOn w:val="NormalTable_80fef179-11e5-4dec-8c42-2c862de8d62e"/>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0612224f-16bb-4e14-b543-3af2761445fb" w:customStyle="1">
    <w:name w:val="Table NoRule 2_0612224f-16bb-4e14-b543-3af2761445fb"/>
    <w:basedOn w:val="TableNoRule1_6476a149-dd33-4f7e-b917-0686a9348916"/>
    <w:uiPriority w:val="99"/>
    <w:pPr>
      <w:pBdr/>
      <w:spacing/>
    </w:pPr>
    <w:rPr/>
    <w:tblPr>
      <w:tblInd w:w="475" w:type="dxa"/>
      <w:tblBorders/>
      <w:tblCellMar/>
    </w:tblPr>
    <w:trPr/>
    <w:tcPr>
      <w:tcBorders/>
      <w:shd w:val="clear" w:color="auto" w:fill="auto"/>
      <w:tcMar/>
      <w:vAlign w:val="top"/>
    </w:tcPr>
  </w:style>
  <w:style w:type="table" w:styleId="TableNoRule3_936e1fe6-e8c9-40d8-9ae2-23fedce43827" w:customStyle="1">
    <w:name w:val="Table NoRule 3_936e1fe6-e8c9-40d8-9ae2-23fedce43827"/>
    <w:basedOn w:val="TableNoRule2_0612224f-16bb-4e14-b543-3af2761445fb"/>
    <w:uiPriority w:val="99"/>
    <w:pPr>
      <w:pBdr/>
      <w:spacing/>
    </w:pPr>
    <w:rPr/>
    <w:tblPr>
      <w:tblInd w:w="950" w:type="dxa"/>
      <w:tblBorders/>
      <w:tblCellMar/>
    </w:tblPr>
    <w:trPr/>
    <w:tcPr>
      <w:tcBorders/>
      <w:shd w:val="clear" w:color="auto" w:fill="auto"/>
      <w:tcMar/>
      <w:vAlign w:val="top"/>
    </w:tcPr>
  </w:style>
  <w:style w:type="table" w:styleId="TableNoRule4_4257104e-4e03-464c-b5e4-425db0051ef7" w:customStyle="1">
    <w:name w:val="Table NoRule 4_4257104e-4e03-464c-b5e4-425db0051ef7"/>
    <w:basedOn w:val="TableNoRule3_936e1fe6-e8c9-40d8-9ae2-23fedce43827"/>
    <w:uiPriority w:val="99"/>
    <w:pPr>
      <w:pBdr/>
      <w:spacing/>
    </w:pPr>
    <w:rPr/>
    <w:tblPr>
      <w:tblInd w:w="1440" w:type="dxa"/>
      <w:tblBorders/>
      <w:tblCellMar/>
    </w:tblPr>
    <w:trPr/>
    <w:tcPr>
      <w:tcBorders/>
      <w:shd w:val="clear" w:color="auto" w:fill="auto"/>
      <w:tcMar/>
      <w:vAlign w:val="top"/>
    </w:tcPr>
  </w:style>
  <w:style w:type="table" w:styleId="TableNoRule5_407409d0-0192-423f-afe1-4107db848f8b" w:customStyle="1">
    <w:name w:val="Table NoRule 5_407409d0-0192-423f-afe1-4107db848f8b"/>
    <w:basedOn w:val="TableNoRule4_4257104e-4e03-464c-b5e4-425db0051ef7"/>
    <w:uiPriority w:val="99"/>
    <w:pPr>
      <w:pBdr/>
      <w:spacing/>
    </w:pPr>
    <w:rPr/>
    <w:tblPr>
      <w:tblInd w:w="1915" w:type="dxa"/>
      <w:tblBorders/>
      <w:tblCellMar/>
    </w:tblPr>
    <w:trPr/>
    <w:tcPr>
      <w:tcBorders/>
      <w:shd w:val="clear" w:color="auto" w:fill="auto"/>
      <w:tcMar/>
      <w:vAlign w:val="top"/>
    </w:tcPr>
  </w:style>
  <w:style w:type="table" w:styleId="TableNoRule6_2c991fb9-8ae9-4698-b219-f16d757e7cb3" w:customStyle="1">
    <w:name w:val="Table NoRule 6_2c991fb9-8ae9-4698-b219-f16d757e7cb3"/>
    <w:basedOn w:val="TableNoRule5_407409d0-0192-423f-afe1-4107db848f8b"/>
    <w:uiPriority w:val="99"/>
    <w:pPr>
      <w:pBdr/>
      <w:spacing/>
    </w:pPr>
    <w:rPr/>
    <w:tblPr>
      <w:tblInd w:w="2390" w:type="dxa"/>
      <w:tblBorders/>
      <w:tblCellMar/>
    </w:tblPr>
    <w:trPr/>
    <w:tcPr>
      <w:tcBorders/>
      <w:shd w:val="clear" w:color="auto" w:fill="auto"/>
      <w:tcMar/>
      <w:vAlign w:val="top"/>
    </w:tcPr>
  </w:style>
  <w:style w:type="table" w:styleId="TableNoRule7_d6b34497-0e71-4dca-ba08-86e31669d35c" w:customStyle="1">
    <w:name w:val="Table NoRule 7_d6b34497-0e71-4dca-ba08-86e31669d35c"/>
    <w:basedOn w:val="TableNoRule6_2c991fb9-8ae9-4698-b219-f16d757e7cb3"/>
    <w:uiPriority w:val="99"/>
    <w:pPr>
      <w:pBdr/>
      <w:spacing/>
    </w:pPr>
    <w:rPr/>
    <w:tblPr>
      <w:tblInd w:w="2880" w:type="dxa"/>
      <w:tblBorders/>
      <w:tblCellMar/>
    </w:tblPr>
    <w:trPr/>
    <w:tcPr>
      <w:tcBorders/>
      <w:shd w:val="clear" w:color="auto" w:fill="auto"/>
      <w:tcMar/>
      <w:vAlign w:val="top"/>
    </w:tcPr>
  </w:style>
  <w:style w:type="table" w:styleId="TableNoRule8" w:customStyle="1">
    <w:name w:val="Table NoRule 8"/>
    <w:basedOn w:val="TableNoRule7_d6b34497-0e71-4dca-ba08-86e31669d35c"/>
    <w:uiPriority w:val="99"/>
    <w:pPr>
      <w:pBdr/>
      <w:spacing/>
    </w:pPr>
    <w:rPr/>
    <w:tblPr>
      <w:tblInd w:w="3355" w:type="dxa"/>
      <w:tblBorders/>
      <w:tblCellMar/>
    </w:tblPr>
    <w:trPr/>
    <w:tcPr>
      <w:tcBorders/>
      <w:shd w:val="clear" w:color="auto" w:fill="auto"/>
      <w:tcMar/>
      <w:vAlign w:val="top"/>
    </w:tcPr>
  </w:style>
  <w:style w:type="table" w:styleId="NormalTable_747af140-8068-41f0-83ab-10fd067eb88a" w:customStyle="1">
    <w:name w:val="Normal Table_747af140-8068-41f0-83ab-10fd067eb88a"/>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833cc118-7111-45df-8e87-9950192e2b89" w:customStyle="1">
    <w:name w:val="Table NoRule 1_833cc118-7111-45df-8e87-9950192e2b89"/>
    <w:basedOn w:val="NormalTable_747af140-8068-41f0-83ab-10fd067eb88a"/>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f9e20b1a-31f4-41c1-8cbd-0cedc4183b66" w:customStyle="1">
    <w:name w:val="Table NoRule 2_f9e20b1a-31f4-41c1-8cbd-0cedc4183b66"/>
    <w:basedOn w:val="TableNoRule1_833cc118-7111-45df-8e87-9950192e2b89"/>
    <w:uiPriority w:val="99"/>
    <w:pPr>
      <w:pBdr/>
      <w:spacing/>
    </w:pPr>
    <w:rPr/>
    <w:tblPr>
      <w:tblInd w:w="475" w:type="dxa"/>
      <w:tblBorders/>
      <w:tblCellMar/>
    </w:tblPr>
    <w:trPr/>
    <w:tcPr>
      <w:tcBorders/>
      <w:shd w:val="clear" w:color="auto" w:fill="auto"/>
      <w:tcMar/>
      <w:vAlign w:val="top"/>
    </w:tcPr>
  </w:style>
  <w:style w:type="table" w:styleId="TableNoRule3_73107d0f-ad92-428b-964e-ed9d19cfa374" w:customStyle="1">
    <w:name w:val="Table NoRule 3_73107d0f-ad92-428b-964e-ed9d19cfa374"/>
    <w:basedOn w:val="TableNoRule2_f9e20b1a-31f4-41c1-8cbd-0cedc4183b66"/>
    <w:uiPriority w:val="99"/>
    <w:pPr>
      <w:pBdr/>
      <w:spacing/>
    </w:pPr>
    <w:rPr/>
    <w:tblPr>
      <w:tblInd w:w="950" w:type="dxa"/>
      <w:tblBorders/>
      <w:tblCellMar/>
    </w:tblPr>
    <w:trPr/>
    <w:tcPr>
      <w:tcBorders/>
      <w:shd w:val="clear" w:color="auto" w:fill="auto"/>
      <w:tcMar/>
      <w:vAlign w:val="top"/>
    </w:tcPr>
  </w:style>
  <w:style w:type="table" w:styleId="TableNoRule4_37f22685-9f21-4702-bb44-45d2dd8ec042" w:customStyle="1">
    <w:name w:val="Table NoRule 4_37f22685-9f21-4702-bb44-45d2dd8ec042"/>
    <w:basedOn w:val="TableNoRule3_73107d0f-ad92-428b-964e-ed9d19cfa374"/>
    <w:uiPriority w:val="99"/>
    <w:pPr>
      <w:pBdr/>
      <w:spacing/>
    </w:pPr>
    <w:rPr/>
    <w:tblPr>
      <w:tblInd w:w="1440" w:type="dxa"/>
      <w:tblBorders/>
      <w:tblCellMar/>
    </w:tblPr>
    <w:trPr/>
    <w:tcPr>
      <w:tcBorders/>
      <w:shd w:val="clear" w:color="auto" w:fill="auto"/>
      <w:tcMar/>
      <w:vAlign w:val="top"/>
    </w:tcPr>
  </w:style>
  <w:style w:type="table" w:styleId="TableNoRule5_e288b493-110b-462d-bc46-84172eabac87" w:customStyle="1">
    <w:name w:val="Table NoRule 5_e288b493-110b-462d-bc46-84172eabac87"/>
    <w:basedOn w:val="TableNoRule4_37f22685-9f21-4702-bb44-45d2dd8ec042"/>
    <w:uiPriority w:val="99"/>
    <w:pPr>
      <w:pBdr/>
      <w:spacing/>
    </w:pPr>
    <w:rPr/>
    <w:tblPr>
      <w:tblInd w:w="1915" w:type="dxa"/>
      <w:tblBorders/>
      <w:tblCellMar/>
    </w:tblPr>
    <w:trPr/>
    <w:tcPr>
      <w:tcBorders/>
      <w:shd w:val="clear" w:color="auto" w:fill="auto"/>
      <w:tcMar/>
      <w:vAlign w:val="top"/>
    </w:tcPr>
  </w:style>
  <w:style w:type="table" w:styleId="TableNoRule6_4b1dbe0a-7614-4caa-91ad-95977b081769" w:customStyle="1">
    <w:name w:val="Table NoRule 6_4b1dbe0a-7614-4caa-91ad-95977b081769"/>
    <w:basedOn w:val="TableNoRule5_e288b493-110b-462d-bc46-84172eabac87"/>
    <w:uiPriority w:val="99"/>
    <w:pPr>
      <w:pBdr/>
      <w:spacing/>
    </w:pPr>
    <w:rPr/>
    <w:tblPr>
      <w:tblInd w:w="2390" w:type="dxa"/>
      <w:tblBorders/>
      <w:tblCellMar/>
    </w:tblPr>
    <w:trPr/>
    <w:tcPr>
      <w:tcBorders/>
      <w:shd w:val="clear" w:color="auto" w:fill="auto"/>
      <w:tcMar/>
      <w:vAlign w:val="top"/>
    </w:tcPr>
  </w:style>
  <w:style w:type="table" w:styleId="TableNoRule7_ba72f7ca-7bb5-487b-b52c-de07caed5303" w:customStyle="1">
    <w:name w:val="Table NoRule 7_ba72f7ca-7bb5-487b-b52c-de07caed5303"/>
    <w:basedOn w:val="TableNoRule6_4b1dbe0a-7614-4caa-91ad-95977b081769"/>
    <w:uiPriority w:val="99"/>
    <w:pPr>
      <w:pBdr/>
      <w:spacing/>
    </w:pPr>
    <w:rPr/>
    <w:tblPr>
      <w:tblInd w:w="2880" w:type="dxa"/>
      <w:tblBorders/>
      <w:tblCellMar/>
    </w:tblPr>
    <w:trPr/>
    <w:tcPr>
      <w:tcBorders/>
      <w:shd w:val="clear" w:color="auto" w:fill="auto"/>
      <w:tcMar/>
      <w:vAlign w:val="top"/>
    </w:tcPr>
  </w:style>
  <w:style w:type="table" w:styleId="TableNoRule8_b49d3998-06ff-48ef-a459-cd49dbf7bf7f" w:customStyle="1">
    <w:name w:val="Table NoRule 8_b49d3998-06ff-48ef-a459-cd49dbf7bf7f"/>
    <w:basedOn w:val="TableNoRule7_ba72f7ca-7bb5-487b-b52c-de07caed5303"/>
    <w:uiPriority w:val="99"/>
    <w:pPr>
      <w:pBdr/>
      <w:spacing/>
    </w:pPr>
    <w:rPr/>
    <w:tblPr>
      <w:tblInd w:w="3355" w:type="dxa"/>
      <w:tblBorders/>
      <w:tblCellMar/>
    </w:tblPr>
    <w:trPr/>
    <w:tcPr>
      <w:tcBorders/>
      <w:shd w:val="clear" w:color="auto" w:fill="auto"/>
      <w:tcMar/>
      <w:vAlign w:val="top"/>
    </w:tcPr>
  </w:style>
  <w:style w:type="table" w:styleId="TableNoRule9" w:customStyle="1">
    <w:name w:val="Table NoRule 9"/>
    <w:basedOn w:val="TableNoRule8_b49d3998-06ff-48ef-a459-cd49dbf7bf7f"/>
    <w:uiPriority w:val="99"/>
    <w:pPr>
      <w:pBdr/>
      <w:spacing/>
    </w:pPr>
    <w:rPr/>
    <w:tblPr>
      <w:tblInd w:w="3830" w:type="dxa"/>
      <w:tblBorders/>
      <w:tblCellMar/>
    </w:tblPr>
    <w:trPr/>
    <w:tcPr>
      <w:tcBorders/>
      <w:shd w:val="clear" w:color="auto" w:fill="auto"/>
      <w:tcMar/>
      <w:vAlign w:val="top"/>
    </w:tcPr>
  </w:style>
  <w:style w:type="paragraph" w:styleId="PageBreakB4Table" w:customStyle="1">
    <w:name w:val="PageBreakB4Table"/>
    <w:basedOn w:val="Normal"/>
    <w:qFormat/>
    <w:pPr>
      <w:pBdr/>
      <w:spacing w:before="0" w:after="0"/>
    </w:pPr>
    <w:rPr>
      <w:rFonts w:ascii="Cambria Math" w:hAnsi="Cambria Math"/>
      <w:sz w:val="6"/>
    </w:rPr>
  </w:style>
  <w:style w:type="paragraph" w:styleId="ImageAboveCaptionLeft" w:customStyle="1">
    <w:name w:val="Image Above Caption Left"/>
    <w:next w:val="Block1"/>
    <w:qFormat/>
    <w:pPr>
      <w:keepNext/>
      <w:pBdr/>
      <w:spacing/>
      <w:jc w:val="left"/>
    </w:pPr>
    <w:rPr>
      <w:rFonts w:ascii="Calibri" w:hAnsi="Calibri"/>
      <w:noProof/>
    </w:rPr>
  </w:style>
  <w:style w:type="paragraph" w:styleId="ImageAboveCaptionCenter" w:customStyle="1">
    <w:name w:val="Image Above Caption Center"/>
    <w:basedOn w:val="ImageAboveCaptionLeft"/>
    <w:next w:val="Block1"/>
    <w:qFormat/>
    <w:pPr>
      <w:pBdr/>
      <w:spacing/>
      <w:jc w:val="center"/>
    </w:pPr>
    <w:rPr/>
  </w:style>
  <w:style w:type="paragraph" w:styleId="ImageCaptionAboveCenter" w:customStyle="1">
    <w:name w:val="Image Caption Above Center"/>
    <w:basedOn w:val="ImageCaptionAboveLeft"/>
    <w:next w:val="Block1"/>
    <w:qFormat/>
    <w:pPr>
      <w:pBdr/>
      <w:spacing/>
      <w:jc w:val="center"/>
    </w:pPr>
    <w:rPr/>
  </w:style>
  <w:style w:type="paragraph" w:styleId="ImageCaptionAboveRight" w:customStyle="1">
    <w:name w:val="Image Caption Above Right"/>
    <w:basedOn w:val="ImageCaptionAboveLeft"/>
    <w:next w:val="Block1"/>
    <w:qFormat/>
    <w:pPr>
      <w:pBdr/>
      <w:spacing/>
      <w:jc w:val="right"/>
    </w:pPr>
    <w:rPr/>
  </w:style>
  <w:style w:type="paragraph" w:styleId="ImageAboveCaptionRight" w:customStyle="1">
    <w:name w:val="Image Above Caption Right"/>
    <w:basedOn w:val="ImageAboveCaptionLeft"/>
    <w:qFormat/>
    <w:pPr>
      <w:pBdr/>
      <w:spacing/>
      <w:jc w:val="right"/>
    </w:pPr>
    <w:rPr/>
  </w:style>
</w:styles>
</file>

<file path=word/_rels/document.xml.rels>&#65279;<?xml version="1.0" encoding="utf-8" standalone="yes"?><Relationships xmlns="http://schemas.openxmlformats.org/package/2006/relationships"><Relationship Id="rId31" Type="http://schemas.openxmlformats.org/officeDocument/2006/relationships/styles" Target="styles.xml" /><Relationship Id="rId32" Type="http://schemas.openxmlformats.org/officeDocument/2006/relationships/settings" Target="settings.xml" /><Relationship Id="rId33" Type="http://schemas.openxmlformats.org/officeDocument/2006/relationships/theme" Target="theme/theme1.xml" /><Relationship Id="rId34" Type="http://schemas.openxmlformats.org/officeDocument/2006/relationships/numbering" Target="numbering.xml" /><Relationship Id="rId35" Type="http://schemas.openxmlformats.org/officeDocument/2006/relationships/footnotes" Target="footnotes.xml" /><Relationship Id="rId2" Type="http://schemas.openxmlformats.org/officeDocument/2006/relationships/footer" Target="footer2.xml" /><Relationship Id="rId4" Type="http://schemas.openxmlformats.org/officeDocument/2006/relationships/footer" Target="footer4.xml" /><Relationship Id="rId6" Type="http://schemas.openxmlformats.org/officeDocument/2006/relationships/footer" Target="footer6.xml" /><Relationship Id="rId8" Type="http://schemas.openxmlformats.org/officeDocument/2006/relationships/footer" Target="footer8.xml" /><Relationship Id="rId10" Type="http://schemas.openxmlformats.org/officeDocument/2006/relationships/footer" Target="footer10.xml" /><Relationship Id="rId12" Type="http://schemas.openxmlformats.org/officeDocument/2006/relationships/footer" Target="footer12.xml" /><Relationship Id="rId14" Type="http://schemas.openxmlformats.org/officeDocument/2006/relationships/footer" Target="footer14.xml" /><Relationship Id="rId16" Type="http://schemas.openxmlformats.org/officeDocument/2006/relationships/footer" Target="footer16.xml" /><Relationship Id="rId18" Type="http://schemas.openxmlformats.org/officeDocument/2006/relationships/footer" Target="footer18.xml" /><Relationship Id="rId20" Type="http://schemas.openxmlformats.org/officeDocument/2006/relationships/footer" Target="footer20.xml" /><Relationship Id="rId22" Type="http://schemas.openxmlformats.org/officeDocument/2006/relationships/footer" Target="footer22.xml" /><Relationship Id="rId24" Type="http://schemas.openxmlformats.org/officeDocument/2006/relationships/footer" Target="footer24.xml" /><Relationship Id="rId26" Type="http://schemas.openxmlformats.org/officeDocument/2006/relationships/footer" Target="footer26.xml" /><Relationship Id="rId28" Type="http://schemas.openxmlformats.org/officeDocument/2006/relationships/footer" Target="footer28.xml" /><Relationship Id="rId30" Type="http://schemas.openxmlformats.org/officeDocument/2006/relationships/footer" Target="footer30.xml" /><Relationship Id="rId1" Type="http://schemas.openxmlformats.org/officeDocument/2006/relationships/header" Target="header1.xml" /><Relationship Id="rId3" Type="http://schemas.openxmlformats.org/officeDocument/2006/relationships/header" Target="header3.xml" /><Relationship Id="rId5" Type="http://schemas.openxmlformats.org/officeDocument/2006/relationships/header" Target="header5.xml" /><Relationship Id="rId7" Type="http://schemas.openxmlformats.org/officeDocument/2006/relationships/header" Target="header7.xml" /><Relationship Id="rId9" Type="http://schemas.openxmlformats.org/officeDocument/2006/relationships/header" Target="header9.xml" /><Relationship Id="rId11" Type="http://schemas.openxmlformats.org/officeDocument/2006/relationships/header" Target="header11.xml" /><Relationship Id="rId13" Type="http://schemas.openxmlformats.org/officeDocument/2006/relationships/header" Target="header13.xml" /><Relationship Id="rId15" Type="http://schemas.openxmlformats.org/officeDocument/2006/relationships/header" Target="header15.xml" /><Relationship Id="rId17" Type="http://schemas.openxmlformats.org/officeDocument/2006/relationships/header" Target="header17.xml" /><Relationship Id="rId19" Type="http://schemas.openxmlformats.org/officeDocument/2006/relationships/header" Target="header19.xml" /><Relationship Id="rId21" Type="http://schemas.openxmlformats.org/officeDocument/2006/relationships/header" Target="header21.xml" /><Relationship Id="rId23" Type="http://schemas.openxmlformats.org/officeDocument/2006/relationships/header" Target="header23.xml" /><Relationship Id="rId25" Type="http://schemas.openxmlformats.org/officeDocument/2006/relationships/header" Target="header25.xml" /><Relationship Id="rId27" Type="http://schemas.openxmlformats.org/officeDocument/2006/relationships/header" Target="header27.xml" /><Relationship Id="rId29" Type="http://schemas.openxmlformats.org/officeDocument/2006/relationships/header" Target="header29.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2026-06-24T18:51:37Z</dcterms:created>
  <dcterms:modified xsi:type="dcterms:W3CDTF">2026-06-24T18:51:37Z</dcterms:modified>
</cp:coreProperties>
</file>