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480"/>
        <w:jc w:val="center"/>
      </w:pPr>
      <w:r>
        <w:rPr>
          <w:rFonts w:ascii="Arial" w:cs="Arial" w:eastAsia="Arial" w:hAnsi="Arial"/>
          <w:b/>
          <w:bCs/>
          <w:color w:val="C8972B"/>
          <w:sz w:val="20"/>
          <w:szCs w:val="20"/>
        </w:rPr>
        <w:t xml:space="preserve">CONFIDENTIAL OFFERING MEMORANDUM</w:t>
      </w:r>
    </w:p>
    <w:p>
      <w:pPr>
        <w:spacing w:after="80" w:before="120"/>
        <w:jc w:val="center"/>
      </w:pPr>
      <w:r>
        <w:rPr>
          <w:rFonts w:ascii="Arial" w:cs="Arial" w:eastAsia="Arial" w:hAnsi="Arial"/>
          <w:b/>
          <w:bCs/>
          <w:color w:val="1B3A5C"/>
          <w:sz w:val="40"/>
          <w:szCs w:val="40"/>
        </w:rPr>
        <w:t xml:space="preserve">DUAL-ASSET VALUE-ADD OPPORTUNITY</w:t>
      </w:r>
    </w:p>
    <w:p>
      <w:pPr>
        <w:spacing w:after="80" w:before="80"/>
        <w:jc w:val="center"/>
      </w:pPr>
      <w:r>
        <w:rPr>
          <w:rFonts w:ascii="Arial" w:cs="Arial" w:eastAsia="Arial" w:hAnsi="Arial"/>
          <w:b/>
          <w:bCs/>
          <w:color w:val="C8972B"/>
          <w:sz w:val="28"/>
          <w:szCs w:val="28"/>
        </w:rPr>
        <w:t xml:space="preserve">Downtown St. Petersburg, Florida</w:t>
      </w:r>
    </w:p>
    <w:p>
      <w:pPr>
        <w:spacing w:after="8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560"/>
        <w:gridCol w:w="4800"/>
      </w:tblGrid>
      <w:tr>
        <w:tc>
          <w:tcPr>
            <w:tcW w:type="dxa" w:w="4560"/>
            <w:tcBorders>
              <w:top w:val="single" w:color="CCCCCC" w:sz="1"/>
              <w:left w:val="single" w:color="CCCCCC" w:sz="1"/>
              <w:bottom w:val="single" w:color="CCCCCC" w:sz="1"/>
              <w:right w:val="single" w:color="CCCCCC" w:sz="1"/>
            </w:tcBorders>
            <w:shd w:fill="1B3A5C" w:val="clear"/>
            <w:tcMar>
              <w:top w:type="dxa" w:w="160"/>
              <w:left w:type="dxa" w:w="200"/>
              <w:bottom w:type="dxa" w:w="160"/>
              <w:right w:type="dxa" w:w="200"/>
            </w:tcMar>
          </w:tcPr>
          <w:p>
            <w:pPr>
              <w:jc w:val="center"/>
            </w:pPr>
            <w:r>
              <w:rPr>
                <w:rFonts w:ascii="Arial" w:cs="Arial" w:eastAsia="Arial" w:hAnsi="Arial"/>
                <w:b/>
                <w:bCs/>
                <w:color w:val="C8972B"/>
                <w:sz w:val="22"/>
                <w:szCs w:val="22"/>
              </w:rPr>
              <w:t xml:space="preserve">PROPERTY A</w:t>
            </w:r>
          </w:p>
          <w:p>
            <w:pPr>
              <w:jc w:val="center"/>
            </w:pPr>
            <w:r>
              <w:rPr>
                <w:rFonts w:ascii="Arial" w:cs="Arial" w:eastAsia="Arial" w:hAnsi="Arial"/>
                <w:b/>
                <w:bCs/>
                <w:color w:val="FFFFFF"/>
                <w:sz w:val="24"/>
                <w:szCs w:val="24"/>
              </w:rPr>
              <w:t xml:space="preserve">247 6th Avenue N.</w:t>
            </w:r>
          </w:p>
          <w:p>
            <w:pPr>
              <w:jc w:val="center"/>
            </w:pPr>
            <w:r>
              <w:rPr>
                <w:rFonts w:ascii="Arial" w:cs="Arial" w:eastAsia="Arial" w:hAnsi="Arial"/>
                <w:color w:val="D5E8F0"/>
                <w:sz w:val="20"/>
                <w:szCs w:val="20"/>
              </w:rPr>
              <w:t xml:space="preserve">St. Petersburg, FL 33701</w:t>
            </w:r>
          </w:p>
          <w:p>
            <w:pPr>
              <w:spacing w:before="100"/>
              <w:jc w:val="center"/>
            </w:pPr>
            <w:r>
              <w:rPr>
                <w:rFonts w:ascii="Arial" w:cs="Arial" w:eastAsia="Arial" w:hAnsi="Arial"/>
                <w:color w:val="D5E8F0"/>
                <w:sz w:val="20"/>
                <w:szCs w:val="20"/>
              </w:rPr>
              <w:t xml:space="preserve">4-Unit Multifamily | Concrete Block | 1954</w:t>
            </w:r>
          </w:p>
          <w:p>
            <w:pPr>
              <w:spacing w:before="80"/>
              <w:jc w:val="center"/>
            </w:pPr>
            <w:r>
              <w:rPr>
                <w:rFonts w:ascii="Arial" w:cs="Arial" w:eastAsia="Arial" w:hAnsi="Arial"/>
                <w:b/>
                <w:bCs/>
                <w:color w:val="C8972B"/>
                <w:sz w:val="24"/>
                <w:szCs w:val="24"/>
              </w:rPr>
              <w:t xml:space="preserve">List Price: $950,000</w:t>
            </w:r>
          </w:p>
        </w:tc>
        <w:tc>
          <w:tcPr>
            <w:tcW w:type="dxa" w:w="4800"/>
            <w:tcBorders>
              <w:top w:val="single" w:color="CCCCCC" w:sz="1"/>
              <w:left w:val="single" w:color="CCCCCC" w:sz="1"/>
              <w:bottom w:val="single" w:color="CCCCCC" w:sz="1"/>
              <w:right w:val="single" w:color="CCCCCC" w:sz="1"/>
            </w:tcBorders>
            <w:shd w:fill="1F4E79" w:val="clear"/>
            <w:tcMar>
              <w:top w:type="dxa" w:w="160"/>
              <w:left w:type="dxa" w:w="200"/>
              <w:bottom w:type="dxa" w:w="160"/>
              <w:right w:type="dxa" w:w="200"/>
            </w:tcMar>
          </w:tcPr>
          <w:p>
            <w:pPr>
              <w:jc w:val="center"/>
            </w:pPr>
            <w:r>
              <w:rPr>
                <w:rFonts w:ascii="Arial" w:cs="Arial" w:eastAsia="Arial" w:hAnsi="Arial"/>
                <w:b/>
                <w:bCs/>
                <w:color w:val="C8972B"/>
                <w:sz w:val="22"/>
                <w:szCs w:val="22"/>
              </w:rPr>
              <w:t xml:space="preserve">PROPERTY B</w:t>
            </w:r>
          </w:p>
          <w:p>
            <w:pPr>
              <w:jc w:val="center"/>
            </w:pPr>
            <w:r>
              <w:rPr>
                <w:rFonts w:ascii="Arial" w:cs="Arial" w:eastAsia="Arial" w:hAnsi="Arial"/>
                <w:b/>
                <w:bCs/>
                <w:color w:val="FFFFFF"/>
                <w:sz w:val="24"/>
                <w:szCs w:val="24"/>
              </w:rPr>
              <w:t xml:space="preserve">255 6th Avenue N.</w:t>
            </w:r>
          </w:p>
          <w:p>
            <w:pPr>
              <w:jc w:val="center"/>
            </w:pPr>
            <w:r>
              <w:rPr>
                <w:rFonts w:ascii="Arial" w:cs="Arial" w:eastAsia="Arial" w:hAnsi="Arial"/>
                <w:color w:val="D5E8F0"/>
                <w:sz w:val="20"/>
                <w:szCs w:val="20"/>
              </w:rPr>
              <w:t xml:space="preserve">St. Petersburg, FL 33701</w:t>
            </w:r>
          </w:p>
          <w:p>
            <w:pPr>
              <w:spacing w:before="100"/>
              <w:jc w:val="center"/>
            </w:pPr>
            <w:r>
              <w:rPr>
                <w:rFonts w:ascii="Arial" w:cs="Arial" w:eastAsia="Arial" w:hAnsi="Arial"/>
                <w:color w:val="D5E8F0"/>
                <w:sz w:val="20"/>
                <w:szCs w:val="20"/>
              </w:rPr>
              <w:t xml:space="preserve">6-Unit Multifamily | Wood Frame | 1925</w:t>
            </w:r>
          </w:p>
          <w:p>
            <w:pPr>
              <w:spacing w:before="80"/>
              <w:jc w:val="center"/>
            </w:pPr>
            <w:r>
              <w:rPr>
                <w:rFonts w:ascii="Arial" w:cs="Arial" w:eastAsia="Arial" w:hAnsi="Arial"/>
                <w:b/>
                <w:bCs/>
                <w:color w:val="C8972B"/>
                <w:sz w:val="24"/>
                <w:szCs w:val="24"/>
              </w:rPr>
              <w:t xml:space="preserve">List Price: $1,200,000</w:t>
            </w:r>
          </w:p>
        </w:tc>
      </w:tr>
    </w:tbl>
    <w:p>
      <w:pPr>
        <w:spacing w:after="8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8972B" w:sz="8"/>
              <w:left w:val="none" w:color="FFFFFF" w:sz="0"/>
              <w:bottom w:val="single" w:color="C8972B" w:sz="8"/>
              <w:right w:val="none" w:color="FFFFFF" w:sz="0"/>
            </w:tcBorders>
            <w:shd w:fill="FDF3DC" w:val="clear"/>
            <w:tcMar>
              <w:top w:type="dxa" w:w="180"/>
              <w:left w:type="dxa" w:w="300"/>
              <w:bottom w:type="dxa" w:w="180"/>
              <w:right w:type="dxa" w:w="300"/>
            </w:tcMar>
          </w:tcPr>
          <w:p>
            <w:pPr>
              <w:jc w:val="center"/>
            </w:pPr>
            <w:r>
              <w:rPr>
                <w:rFonts w:ascii="Arial" w:cs="Arial" w:eastAsia="Arial" w:hAnsi="Arial"/>
                <w:b/>
                <w:bCs/>
                <w:color w:val="1B3A5C"/>
                <w:sz w:val="22"/>
                <w:szCs w:val="22"/>
              </w:rPr>
              <w:t xml:space="preserve">COMBINED PORTFOLIO LIST PRICE</w:t>
            </w:r>
          </w:p>
          <w:p>
            <w:pPr>
              <w:spacing w:before="60"/>
              <w:jc w:val="center"/>
            </w:pPr>
            <w:r>
              <w:rPr>
                <w:rFonts w:ascii="Arial" w:cs="Arial" w:eastAsia="Arial" w:hAnsi="Arial"/>
                <w:b/>
                <w:bCs/>
                <w:color w:val="1B3A5C"/>
                <w:sz w:val="40"/>
                <w:szCs w:val="40"/>
              </w:rPr>
              <w:t xml:space="preserve">$2,150,000</w:t>
            </w:r>
          </w:p>
          <w:p>
            <w:pPr>
              <w:spacing w:before="60"/>
              <w:jc w:val="center"/>
            </w:pPr>
            <w:r>
              <w:rPr>
                <w:rFonts w:ascii="Arial" w:cs="Arial" w:eastAsia="Arial" w:hAnsi="Arial"/>
                <w:i/>
                <w:iCs/>
                <w:color w:val="555555"/>
                <w:sz w:val="20"/>
                <w:szCs w:val="20"/>
              </w:rPr>
              <w:t xml:space="preserve">10 Units | Adjacent Properties | Same Street Address | Immediate Rent Upside</w:t>
            </w:r>
          </w:p>
        </w:tc>
      </w:tr>
    </w:tbl>
    <w:p>
      <w:pPr>
        <w:spacing w:after="80" w:before="80"/>
      </w:pPr>
    </w:p>
    <w:p>
      <w:pPr>
        <w:spacing w:after="40" w:before="120"/>
        <w:jc w:val="center"/>
      </w:pPr>
      <w:r>
        <w:rPr>
          <w:rFonts w:ascii="Arial" w:cs="Arial" w:eastAsia="Arial" w:hAnsi="Arial"/>
          <w:color w:val="555555"/>
          <w:sz w:val="20"/>
          <w:szCs w:val="20"/>
        </w:rPr>
        <w:t xml:space="preserve">Prepared by: Dave Masi</w:t>
      </w:r>
    </w:p>
    <w:p>
      <w:pPr>
        <w:jc w:val="center"/>
      </w:pPr>
      <w:r>
        <w:rPr>
          <w:rFonts w:ascii="Arial" w:cs="Arial" w:eastAsia="Arial" w:hAnsi="Arial"/>
          <w:color w:val="555555"/>
          <w:sz w:val="20"/>
          <w:szCs w:val="20"/>
        </w:rPr>
        <w:t xml:space="preserve">June 2026  |  Downtown St. Petersburg / Historic Old Northeast</w:t>
      </w:r>
    </w:p>
    <w:p>
      <w:r>
        <w:br w:type="page"/>
      </w:r>
    </w:p>
    <w:p>
      <w:pPr>
        <w:pStyle w:val="Heading1"/>
        <w:spacing w:after="160" w:before="360"/>
      </w:pPr>
      <w:r>
        <w:rPr>
          <w:rFonts w:ascii="Arial" w:cs="Arial" w:eastAsia="Arial" w:hAnsi="Arial"/>
          <w:b/>
          <w:bCs/>
          <w:color w:val="1B3A5C"/>
          <w:sz w:val="32"/>
          <w:szCs w:val="32"/>
        </w:rPr>
        <w:t xml:space="preserve">SECTION 1: EXECUTIVE INVESTMENT THESIS</w:t>
      </w:r>
    </w:p>
    <w:p>
      <w:pPr>
        <w:pBdr>
          <w:bottom w:val="single" w:color="C8972B" w:sz="6" w:space="1"/>
        </w:pBdr>
        <w:spacing w:after="160" w:before="160"/>
      </w:pPr>
    </w:p>
    <w:p>
      <w:pPr>
        <w:pStyle w:val="Heading2"/>
        <w:spacing w:after="120" w:before="280"/>
      </w:pPr>
      <w:r>
        <w:rPr>
          <w:rFonts w:ascii="Arial" w:cs="Arial" w:eastAsia="Arial" w:hAnsi="Arial"/>
          <w:b/>
          <w:bCs/>
          <w:color w:val="1B3A5C"/>
          <w:sz w:val="26"/>
          <w:szCs w:val="26"/>
        </w:rPr>
        <w:t xml:space="preserve">The Value-Add Imperative</w:t>
      </w:r>
    </w:p>
    <w:p>
      <w:pPr>
        <w:spacing w:after="80" w:before="80"/>
      </w:pPr>
      <w:r>
        <w:rPr>
          <w:rFonts w:ascii="Arial" w:cs="Arial" w:eastAsia="Arial" w:hAnsi="Arial"/>
          <w:color w:val="333333"/>
          <w:sz w:val="22"/>
          <w:szCs w:val="22"/>
        </w:rPr>
        <w:t xml:space="preserve">Downtown St. Petersburg's small multifamily market is at an inflection point. Supply is constrained. Institutional capital is pricing in. And two adjacent properties on 6th Avenue North — sitting steps from Historic Old Northeast's most coveted rental corridor — are quietly carrying rents that are 25% to 40% below where the market has already moved.</w:t>
      </w:r>
    </w:p>
    <w:p>
      <w:pPr>
        <w:spacing w:after="80" w:before="80"/>
      </w:pPr>
    </w:p>
    <w:p>
      <w:pPr>
        <w:spacing w:after="80" w:before="80"/>
      </w:pPr>
      <w:r>
        <w:rPr>
          <w:rFonts w:ascii="Arial" w:cs="Arial" w:eastAsia="Arial" w:hAnsi="Arial"/>
          <w:color w:val="333333"/>
          <w:sz w:val="22"/>
          <w:szCs w:val="22"/>
        </w:rPr>
        <w:t xml:space="preserve">That gap between current rents and market rents is not a liability. It is the entire thesis.</w:t>
      </w:r>
    </w:p>
    <w:p>
      <w:pPr>
        <w:spacing w:after="80" w:before="80"/>
      </w:pPr>
    </w:p>
    <w:p>
      <w:pPr>
        <w:spacing w:after="80" w:before="80"/>
      </w:pPr>
      <w:r>
        <w:rPr>
          <w:rFonts w:ascii="Arial" w:cs="Arial" w:eastAsia="Arial" w:hAnsi="Arial"/>
          <w:b/>
          <w:bCs/>
          <w:color w:val="333333"/>
          <w:sz w:val="22"/>
          <w:szCs w:val="22"/>
        </w:rPr>
        <w:t xml:space="preserve">Across both assets, the incoming owner inherits 10 units with a stabilized gross rent potential of approximately $168,000 per year once brought to market rates — versus a combined in-place run rate of roughly $102,600 annually. That is a $64,200 annual income gap sitting on the table, waiting for a disciplined operator to close it.</w:t>
      </w:r>
    </w:p>
    <w:p>
      <w:pPr>
        <w:spacing w:after="8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3A5C" w:sz="4"/>
              <w:left w:val="single" w:color="C8972B" w:sz="16"/>
              <w:bottom w:val="single" w:color="1B3A5C" w:sz="4"/>
              <w:right w:val="single" w:color="1B3A5C" w:sz="4"/>
            </w:tcBorders>
            <w:shd w:fill="FDF3DC" w:val="clear"/>
            <w:tcMar>
              <w:top w:type="dxa" w:w="160"/>
              <w:left w:type="dxa" w:w="200"/>
              <w:bottom w:type="dxa" w:w="160"/>
              <w:right w:type="dxa" w:w="200"/>
            </w:tcMar>
          </w:tcPr>
          <w:p>
            <w:pPr>
              <w:spacing w:after="60" w:before="60"/>
            </w:pPr>
            <w:r>
              <w:rPr>
                <w:rFonts w:ascii="Arial" w:cs="Arial" w:eastAsia="Arial" w:hAnsi="Arial"/>
                <w:b/>
                <w:bCs/>
                <w:color w:val="1B3A5C"/>
                <w:sz w:val="22"/>
                <w:szCs w:val="22"/>
              </w:rPr>
              <w:t xml:space="preserve">THE CORE THESIS: </w:t>
            </w:r>
            <w:r>
              <w:rPr>
                <w:rFonts w:ascii="Arial" w:cs="Arial" w:eastAsia="Arial" w:hAnsi="Arial"/>
                <w:color w:val="333333"/>
                <w:sz w:val="22"/>
                <w:szCs w:val="22"/>
              </w:rPr>
              <w:t xml:space="preserve">Every dollar of rent growth on a 5.0% cap-rate asset creates $20 of value. Closing the combined rent gap at stabilization would add approximately $800,000–$1,300,000 to total portfolio value versus today's acquisition basis.</w:t>
            </w:r>
          </w:p>
        </w:tc>
      </w:tr>
    </w:tbl>
    <w:p>
      <w:pPr>
        <w:spacing w:after="80" w:before="80"/>
      </w:pPr>
    </w:p>
    <w:p>
      <w:pPr>
        <w:pStyle w:val="Heading2"/>
        <w:spacing w:after="120" w:before="280"/>
      </w:pPr>
      <w:r>
        <w:rPr>
          <w:rFonts w:ascii="Arial" w:cs="Arial" w:eastAsia="Arial" w:hAnsi="Arial"/>
          <w:b/>
          <w:bCs/>
          <w:color w:val="1B3A5C"/>
          <w:sz w:val="26"/>
          <w:szCs w:val="26"/>
        </w:rPr>
        <w:t xml:space="preserve">Rent-to-Value Mechanics: Why This Matters</w:t>
      </w:r>
    </w:p>
    <w:p>
      <w:pPr>
        <w:spacing w:after="80" w:before="80"/>
      </w:pPr>
      <w:r>
        <w:rPr>
          <w:rFonts w:ascii="Arial" w:cs="Arial" w:eastAsia="Arial" w:hAnsi="Arial"/>
          <w:color w:val="333333"/>
          <w:sz w:val="22"/>
          <w:szCs w:val="22"/>
        </w:rPr>
        <w:t xml:space="preserve">The math is straightforward — and compelling:</w:t>
      </w:r>
    </w:p>
    <w:p>
      <w:pPr>
        <w:spacing w:after="8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c>
          <w:tcPr>
            <w:tcW w:type="dxa" w:w="3120"/>
            <w:tcBorders>
              <w:top w:val="single" w:color="CCCCCC" w:sz="1"/>
              <w:left w:val="single" w:color="CCCCCC" w:sz="1"/>
              <w:bottom w:val="single" w:color="CCCCCC" w:sz="1"/>
              <w:right w:val="single" w:color="CCCCCC" w:sz="1"/>
            </w:tcBorders>
            <w:shd w:fill="1B3A5C" w:val="clear"/>
            <w:tcMar>
              <w:top w:type="dxa" w:w="120"/>
              <w:left w:type="dxa" w:w="160"/>
              <w:bottom w:type="dxa" w:w="120"/>
              <w:right w:type="dxa" w:w="160"/>
            </w:tcMar>
          </w:tcPr>
          <w:p>
            <w:pPr>
              <w:jc w:val="center"/>
            </w:pPr>
            <w:r>
              <w:rPr>
                <w:rFonts w:ascii="Arial" w:cs="Arial" w:eastAsia="Arial" w:hAnsi="Arial"/>
                <w:b/>
                <w:bCs/>
                <w:color w:val="FFFFFF"/>
                <w:sz w:val="20"/>
                <w:szCs w:val="20"/>
              </w:rPr>
              <w:t xml:space="preserve">Metric</w:t>
            </w:r>
          </w:p>
        </w:tc>
        <w:tc>
          <w:tcPr>
            <w:tcW w:type="dxa" w:w="3120"/>
            <w:tcBorders>
              <w:top w:val="single" w:color="CCCCCC" w:sz="1"/>
              <w:left w:val="single" w:color="CCCCCC" w:sz="1"/>
              <w:bottom w:val="single" w:color="CCCCCC" w:sz="1"/>
              <w:right w:val="single" w:color="CCCCCC" w:sz="1"/>
            </w:tcBorders>
            <w:shd w:fill="1B3A5C" w:val="clear"/>
            <w:tcMar>
              <w:top w:type="dxa" w:w="120"/>
              <w:left w:type="dxa" w:w="160"/>
              <w:bottom w:type="dxa" w:w="120"/>
              <w:right w:type="dxa" w:w="160"/>
            </w:tcMar>
          </w:tcPr>
          <w:p>
            <w:pPr>
              <w:jc w:val="center"/>
            </w:pPr>
            <w:r>
              <w:rPr>
                <w:rFonts w:ascii="Arial" w:cs="Arial" w:eastAsia="Arial" w:hAnsi="Arial"/>
                <w:b/>
                <w:bCs/>
                <w:color w:val="FFFFFF"/>
                <w:sz w:val="20"/>
                <w:szCs w:val="20"/>
              </w:rPr>
              <w:t xml:space="preserve">In-Place Today</w:t>
            </w:r>
          </w:p>
        </w:tc>
        <w:tc>
          <w:tcPr>
            <w:tcW w:type="dxa" w:w="3120"/>
            <w:tcBorders>
              <w:top w:val="single" w:color="CCCCCC" w:sz="1"/>
              <w:left w:val="single" w:color="CCCCCC" w:sz="1"/>
              <w:bottom w:val="single" w:color="CCCCCC" w:sz="1"/>
              <w:right w:val="single" w:color="CCCCCC" w:sz="1"/>
            </w:tcBorders>
            <w:shd w:fill="1B3A5C" w:val="clear"/>
            <w:tcMar>
              <w:top w:type="dxa" w:w="120"/>
              <w:left w:type="dxa" w:w="160"/>
              <w:bottom w:type="dxa" w:w="120"/>
              <w:right w:type="dxa" w:w="160"/>
            </w:tcMar>
          </w:tcPr>
          <w:p>
            <w:pPr>
              <w:jc w:val="center"/>
            </w:pPr>
            <w:r>
              <w:rPr>
                <w:rFonts w:ascii="Arial" w:cs="Arial" w:eastAsia="Arial" w:hAnsi="Arial"/>
                <w:b/>
                <w:bCs/>
                <w:color w:val="FFFFFF"/>
                <w:sz w:val="20"/>
                <w:szCs w:val="20"/>
              </w:rPr>
              <w:t xml:space="preserve">Stabilized (Market Rents)</w:t>
            </w:r>
          </w:p>
        </w:tc>
      </w:tr>
      <w:tr>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Combined Gross Monthly Income</w:t>
            </w:r>
          </w:p>
        </w:tc>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$8,650 / mo</w:t>
            </w:r>
          </w:p>
        </w:tc>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$14,000 / mo</w:t>
            </w:r>
          </w:p>
        </w:tc>
      </w:tr>
      <w:tr>
        <w:tc>
          <w:tcPr>
            <w:tcW w:type="dxa" w:w="3120"/>
            <w:tcBorders>
              <w:top w:val="single" w:color="CCCCCC" w:sz="1"/>
              <w:left w:val="single" w:color="CCCCCC" w:sz="1"/>
              <w:bottom w:val="single" w:color="CCCCCC" w:sz="1"/>
              <w:right w:val="single" w:color="CCCCCC" w:sz="1"/>
            </w:tcBorders>
            <w:shd w:fill="FFFFFF" w:val="clear"/>
            <w:tcMar>
              <w:top w:type="dxa" w:w="100"/>
              <w:left w:type="dxa" w:w="160"/>
              <w:bottom w:type="dxa" w:w="100"/>
              <w:right w:type="dxa" w:w="160"/>
            </w:tcMar>
          </w:tcPr>
          <w:p>
            <w:pPr>
              <w:jc w:val="center"/>
            </w:pPr>
            <w:r>
              <w:rPr>
                <w:rFonts w:ascii="Arial" w:cs="Arial" w:eastAsia="Arial" w:hAnsi="Arial"/>
                <w:color w:val="333333"/>
                <w:sz w:val="20"/>
                <w:szCs w:val="20"/>
              </w:rPr>
              <w:t xml:space="preserve">Combined Gross Annual Income</w:t>
            </w:r>
          </w:p>
        </w:tc>
        <w:tc>
          <w:tcPr>
            <w:tcW w:type="dxa" w:w="3120"/>
            <w:tcBorders>
              <w:top w:val="single" w:color="CCCCCC" w:sz="1"/>
              <w:left w:val="single" w:color="CCCCCC" w:sz="1"/>
              <w:bottom w:val="single" w:color="CCCCCC" w:sz="1"/>
              <w:right w:val="single" w:color="CCCCCC" w:sz="1"/>
            </w:tcBorders>
            <w:shd w:fill="FFFFFF" w:val="clear"/>
            <w:tcMar>
              <w:top w:type="dxa" w:w="100"/>
              <w:left w:type="dxa" w:w="160"/>
              <w:bottom w:type="dxa" w:w="100"/>
              <w:right w:type="dxa" w:w="160"/>
            </w:tcMar>
          </w:tcPr>
          <w:p>
            <w:pPr>
              <w:jc w:val="center"/>
            </w:pPr>
            <w:r>
              <w:rPr>
                <w:rFonts w:ascii="Arial" w:cs="Arial" w:eastAsia="Arial" w:hAnsi="Arial"/>
                <w:color w:val="333333"/>
                <w:sz w:val="20"/>
                <w:szCs w:val="20"/>
              </w:rPr>
              <w:t xml:space="preserve">$103,800 / yr</w:t>
            </w:r>
          </w:p>
        </w:tc>
        <w:tc>
          <w:tcPr>
            <w:tcW w:type="dxa" w:w="3120"/>
            <w:tcBorders>
              <w:top w:val="single" w:color="CCCCCC" w:sz="1"/>
              <w:left w:val="single" w:color="CCCCCC" w:sz="1"/>
              <w:bottom w:val="single" w:color="CCCCCC" w:sz="1"/>
              <w:right w:val="single" w:color="CCCCCC" w:sz="1"/>
            </w:tcBorders>
            <w:shd w:fill="FFFFFF" w:val="clear"/>
            <w:tcMar>
              <w:top w:type="dxa" w:w="100"/>
              <w:left w:type="dxa" w:w="160"/>
              <w:bottom w:type="dxa" w:w="100"/>
              <w:right w:type="dxa" w:w="160"/>
            </w:tcMar>
          </w:tcPr>
          <w:p>
            <w:pPr>
              <w:jc w:val="center"/>
            </w:pPr>
            <w:r>
              <w:rPr>
                <w:rFonts w:ascii="Arial" w:cs="Arial" w:eastAsia="Arial" w:hAnsi="Arial"/>
                <w:color w:val="333333"/>
                <w:sz w:val="20"/>
                <w:szCs w:val="20"/>
              </w:rPr>
              <w:t xml:space="preserve">$168,000 / yr</w:t>
            </w:r>
          </w:p>
        </w:tc>
      </w:tr>
      <w:tr>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Income Uplift</w:t>
            </w:r>
          </w:p>
        </w:tc>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w:t>
            </w:r>
          </w:p>
        </w:tc>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+$64,200 / yr</w:t>
            </w:r>
          </w:p>
        </w:tc>
      </w:tr>
      <w:tr>
        <w:tc>
          <w:tcPr>
            <w:tcW w:type="dxa" w:w="3120"/>
            <w:tcBorders>
              <w:top w:val="single" w:color="CCCCCC" w:sz="1"/>
              <w:left w:val="single" w:color="CCCCCC" w:sz="1"/>
              <w:bottom w:val="single" w:color="CCCCCC" w:sz="1"/>
              <w:right w:val="single" w:color="CCCCCC" w:sz="1"/>
            </w:tcBorders>
            <w:shd w:fill="FFFFFF" w:val="clear"/>
            <w:tcMar>
              <w:top w:type="dxa" w:w="100"/>
              <w:left w:type="dxa" w:w="160"/>
              <w:bottom w:type="dxa" w:w="100"/>
              <w:right w:type="dxa" w:w="160"/>
            </w:tcMar>
          </w:tcPr>
          <w:p>
            <w:pPr>
              <w:jc w:val="center"/>
            </w:pPr>
            <w:r>
              <w:rPr>
                <w:rFonts w:ascii="Arial" w:cs="Arial" w:eastAsia="Arial" w:hAnsi="Arial"/>
                <w:color w:val="333333"/>
                <w:sz w:val="20"/>
                <w:szCs w:val="20"/>
              </w:rPr>
              <w:t xml:space="preserve">Estimated Combined Stabilized NOI (est. 38–40% exp)</w:t>
            </w:r>
          </w:p>
        </w:tc>
        <w:tc>
          <w:tcPr>
            <w:tcW w:type="dxa" w:w="3120"/>
            <w:tcBorders>
              <w:top w:val="single" w:color="CCCCCC" w:sz="1"/>
              <w:left w:val="single" w:color="CCCCCC" w:sz="1"/>
              <w:bottom w:val="single" w:color="CCCCCC" w:sz="1"/>
              <w:right w:val="single" w:color="CCCCCC" w:sz="1"/>
            </w:tcBorders>
            <w:shd w:fill="FFFFFF" w:val="clear"/>
            <w:tcMar>
              <w:top w:type="dxa" w:w="100"/>
              <w:left w:type="dxa" w:w="160"/>
              <w:bottom w:type="dxa" w:w="100"/>
              <w:right w:type="dxa" w:w="160"/>
            </w:tcMar>
          </w:tcPr>
          <w:p>
            <w:pPr>
              <w:jc w:val="center"/>
            </w:pPr>
            <w:r>
              <w:rPr>
                <w:rFonts w:ascii="Arial" w:cs="Arial" w:eastAsia="Arial" w:hAnsi="Arial"/>
                <w:color w:val="333333"/>
                <w:sz w:val="20"/>
                <w:szCs w:val="20"/>
              </w:rPr>
              <w:t xml:space="preserve">~$65,000</w:t>
            </w:r>
          </w:p>
        </w:tc>
        <w:tc>
          <w:tcPr>
            <w:tcW w:type="dxa" w:w="3120"/>
            <w:tcBorders>
              <w:top w:val="single" w:color="CCCCCC" w:sz="1"/>
              <w:left w:val="single" w:color="CCCCCC" w:sz="1"/>
              <w:bottom w:val="single" w:color="CCCCCC" w:sz="1"/>
              <w:right w:val="single" w:color="CCCCCC" w:sz="1"/>
            </w:tcBorders>
            <w:shd w:fill="FFFFFF" w:val="clear"/>
            <w:tcMar>
              <w:top w:type="dxa" w:w="100"/>
              <w:left w:type="dxa" w:w="160"/>
              <w:bottom w:type="dxa" w:w="100"/>
              <w:right w:type="dxa" w:w="160"/>
            </w:tcMar>
          </w:tcPr>
          <w:p>
            <w:pPr>
              <w:jc w:val="center"/>
            </w:pPr>
            <w:r>
              <w:rPr>
                <w:rFonts w:ascii="Arial" w:cs="Arial" w:eastAsia="Arial" w:hAnsi="Arial"/>
                <w:color w:val="333333"/>
                <w:sz w:val="20"/>
                <w:szCs w:val="20"/>
              </w:rPr>
              <w:t xml:space="preserve">~$92,000–$103,000</w:t>
            </w:r>
          </w:p>
        </w:tc>
      </w:tr>
      <w:tr>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Value at 5.0% Cap Rate</w:t>
            </w:r>
          </w:p>
        </w:tc>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~$1.3M (247 NOI basis)</w:t>
            </w:r>
          </w:p>
        </w:tc>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~$1.84M–$2.06M</w:t>
            </w:r>
          </w:p>
        </w:tc>
      </w:tr>
      <w:tr>
        <w:tc>
          <w:tcPr>
            <w:tcW w:type="dxa" w:w="3120"/>
            <w:tcBorders>
              <w:top w:val="single" w:color="CCCCCC" w:sz="1"/>
              <w:left w:val="single" w:color="CCCCCC" w:sz="1"/>
              <w:bottom w:val="single" w:color="CCCCCC" w:sz="1"/>
              <w:right w:val="single" w:color="CCCCCC" w:sz="1"/>
            </w:tcBorders>
            <w:shd w:fill="FFFFFF" w:val="clear"/>
            <w:tcMar>
              <w:top w:type="dxa" w:w="100"/>
              <w:left w:type="dxa" w:w="160"/>
              <w:bottom w:type="dxa" w:w="100"/>
              <w:right w:type="dxa" w:w="160"/>
            </w:tcMar>
          </w:tcPr>
          <w:p>
            <w:pPr>
              <w:jc w:val="center"/>
            </w:pPr>
            <w:r>
              <w:rPr>
                <w:rFonts w:ascii="Arial" w:cs="Arial" w:eastAsia="Arial" w:hAnsi="Arial"/>
                <w:color w:val="333333"/>
                <w:sz w:val="20"/>
                <w:szCs w:val="20"/>
              </w:rPr>
              <w:t xml:space="preserve">Value at 4.5% Cap Rate</w:t>
            </w:r>
          </w:p>
        </w:tc>
        <w:tc>
          <w:tcPr>
            <w:tcW w:type="dxa" w:w="3120"/>
            <w:tcBorders>
              <w:top w:val="single" w:color="CCCCCC" w:sz="1"/>
              <w:left w:val="single" w:color="CCCCCC" w:sz="1"/>
              <w:bottom w:val="single" w:color="CCCCCC" w:sz="1"/>
              <w:right w:val="single" w:color="CCCCCC" w:sz="1"/>
            </w:tcBorders>
            <w:shd w:fill="FFFFFF" w:val="clear"/>
            <w:tcMar>
              <w:top w:type="dxa" w:w="100"/>
              <w:left w:type="dxa" w:w="160"/>
              <w:bottom w:type="dxa" w:w="100"/>
              <w:right w:type="dxa" w:w="160"/>
            </w:tcMar>
          </w:tcPr>
          <w:p>
            <w:pPr>
              <w:jc w:val="center"/>
            </w:pPr>
            <w:r>
              <w:rPr>
                <w:rFonts w:ascii="Arial" w:cs="Arial" w:eastAsia="Arial" w:hAnsi="Arial"/>
                <w:color w:val="333333"/>
                <w:sz w:val="20"/>
                <w:szCs w:val="20"/>
              </w:rPr>
              <w:t xml:space="preserve">~$1.45M (247 NOI basis)</w:t>
            </w:r>
          </w:p>
        </w:tc>
        <w:tc>
          <w:tcPr>
            <w:tcW w:type="dxa" w:w="3120"/>
            <w:tcBorders>
              <w:top w:val="single" w:color="CCCCCC" w:sz="1"/>
              <w:left w:val="single" w:color="CCCCCC" w:sz="1"/>
              <w:bottom w:val="single" w:color="CCCCCC" w:sz="1"/>
              <w:right w:val="single" w:color="CCCCCC" w:sz="1"/>
            </w:tcBorders>
            <w:shd w:fill="FFFFFF" w:val="clear"/>
            <w:tcMar>
              <w:top w:type="dxa" w:w="100"/>
              <w:left w:type="dxa" w:w="160"/>
              <w:bottom w:type="dxa" w:w="100"/>
              <w:right w:type="dxa" w:w="160"/>
            </w:tcMar>
          </w:tcPr>
          <w:p>
            <w:pPr>
              <w:jc w:val="center"/>
            </w:pPr>
            <w:r>
              <w:rPr>
                <w:rFonts w:ascii="Arial" w:cs="Arial" w:eastAsia="Arial" w:hAnsi="Arial"/>
                <w:color w:val="333333"/>
                <w:sz w:val="20"/>
                <w:szCs w:val="20"/>
              </w:rPr>
              <w:t xml:space="preserve">~$2.04M–$2.29M</w:t>
            </w:r>
          </w:p>
        </w:tc>
      </w:tr>
      <w:tr>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Implied Stabilized Value Upside</w:t>
            </w:r>
          </w:p>
        </w:tc>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w:t>
            </w:r>
          </w:p>
        </w:tc>
        <w:tc>
          <w:tcPr>
            <w:tcW w:type="dxa" w:w="3120"/>
            <w:tcBorders>
              <w:top w:val="single" w:color="CCCCCC" w:sz="1"/>
              <w:left w:val="single" w:color="CCCCCC" w:sz="1"/>
              <w:bottom w:val="single" w:color="CCCCCC" w:sz="1"/>
              <w:right w:val="single" w:color="CCCCCC" w:sz="1"/>
            </w:tcBorders>
            <w:shd w:fill="D5E8F0" w:val="clear"/>
            <w:tcMar>
              <w:top w:type="dxa" w:w="100"/>
              <w:left w:type="dxa" w:w="160"/>
              <w:bottom w:type="dxa" w:w="100"/>
              <w:right w:type="dxa" w:w="160"/>
            </w:tcMar>
          </w:tcPr>
          <w:p>
            <w:pPr>
              <w:jc w:val="center"/>
            </w:pPr>
            <w:r>
              <w:rPr>
                <w:rFonts w:ascii="Arial" w:cs="Arial" w:eastAsia="Arial" w:hAnsi="Arial"/>
                <w:color w:val="333333"/>
                <w:sz w:val="20"/>
                <w:szCs w:val="20"/>
              </w:rPr>
              <w:t xml:space="preserve">$700K–$950K+ (conservative)</w:t>
            </w:r>
          </w:p>
        </w:tc>
      </w:tr>
    </w:tbl>
    <w:p>
      <w:pPr>
        <w:spacing w:after="80" w:before="80"/>
      </w:pPr>
    </w:p>
    <w:p>
      <w:pPr>
        <w:spacing w:after="80" w:before="80"/>
      </w:pPr>
      <w:r>
        <w:rPr>
          <w:rFonts w:ascii="Arial" w:cs="Arial" w:eastAsia="Arial" w:hAnsi="Arial"/>
          <w:color w:val="333333"/>
          <w:sz w:val="22"/>
          <w:szCs w:val="22"/>
        </w:rPr>
        <w:t xml:space="preserve">For the value-add investor, the acquisition price is not the cost — it is the entry point. The real return is manufactured through lease-up, rent normalization, and the compounding effect of NOI growth on a compressed downtown cap rate environment.</w:t>
      </w:r>
    </w:p>
    <w:p>
      <w:pPr>
        <w:spacing w:after="80" w:before="80"/>
      </w:pPr>
    </w:p>
    <w:p>
      <w:pPr>
        <w:pStyle w:val="Heading2"/>
        <w:spacing w:after="120" w:before="280"/>
      </w:pPr>
      <w:r>
        <w:rPr>
          <w:rFonts w:ascii="Arial" w:cs="Arial" w:eastAsia="Arial" w:hAnsi="Arial"/>
          <w:b/>
          <w:bCs/>
          <w:color w:val="1B3A5C"/>
          <w:sz w:val="26"/>
          <w:szCs w:val="26"/>
        </w:rPr>
        <w:t xml:space="preserve">Why These Properties, Why Now</w:t>
      </w:r>
    </w:p>
    <w:p>
      <w:pPr>
        <w:pStyle w:val="ListParagraph"/>
        <w:numPr>
          <w:ilvl w:val="0"/>
          <w:numId w:val="2"/>
        </w:numPr>
        <w:spacing w:after="60" w:before="60"/>
      </w:pPr>
      <w:r>
        <w:rPr>
          <w:rFonts w:ascii="Arial" w:cs="Arial" w:eastAsia="Arial" w:hAnsi="Arial"/>
          <w:b/>
          <w:bCs/>
          <w:color w:val="333333"/>
          <w:sz w:val="22"/>
          <w:szCs w:val="22"/>
        </w:rPr>
        <w:t xml:space="preserve">Scarcity: </w:t>
      </w:r>
      <w:r>
        <w:rPr>
          <w:rFonts w:ascii="Arial" w:cs="Arial" w:eastAsia="Arial" w:hAnsi="Arial"/>
          <w:color w:val="333333"/>
          <w:sz w:val="22"/>
          <w:szCs w:val="22"/>
        </w:rPr>
        <w:t xml:space="preserve">The Downtown St. Petersburg / Historic Old Northeast multifamily submarket has fewer than a handful of comparable small-unit buildings trade per year. Supply is genuinely scarce.</w:t>
      </w:r>
    </w:p>
    <w:p>
      <w:pPr>
        <w:pStyle w:val="ListParagraph"/>
        <w:numPr>
          <w:ilvl w:val="0"/>
          <w:numId w:val="2"/>
        </w:numPr>
        <w:spacing w:after="60" w:before="60"/>
      </w:pPr>
      <w:r>
        <w:rPr>
          <w:rFonts w:ascii="Arial" w:cs="Arial" w:eastAsia="Arial" w:hAnsi="Arial"/>
          <w:b/>
          <w:bCs/>
          <w:color w:val="333333"/>
          <w:sz w:val="22"/>
          <w:szCs w:val="22"/>
        </w:rPr>
        <w:t xml:space="preserve">Insurance Advantage: </w:t>
      </w:r>
      <w:r>
        <w:rPr>
          <w:rFonts w:ascii="Arial" w:cs="Arial" w:eastAsia="Arial" w:hAnsi="Arial"/>
          <w:color w:val="333333"/>
          <w:sz w:val="22"/>
          <w:szCs w:val="22"/>
        </w:rPr>
        <w:t xml:space="preserve">Both properties are in Flood Zone X, eliminating mandatory flood insurance — a material operating cost advantage in today's Florida insurance environment.</w:t>
      </w:r>
    </w:p>
    <w:p>
      <w:pPr>
        <w:pStyle w:val="ListParagraph"/>
        <w:numPr>
          <w:ilvl w:val="0"/>
          <w:numId w:val="2"/>
        </w:numPr>
        <w:spacing w:after="60" w:before="60"/>
      </w:pPr>
      <w:r>
        <w:rPr>
          <w:rFonts w:ascii="Arial" w:cs="Arial" w:eastAsia="Arial" w:hAnsi="Arial"/>
          <w:b/>
          <w:bCs/>
          <w:color w:val="333333"/>
          <w:sz w:val="22"/>
          <w:szCs w:val="22"/>
        </w:rPr>
        <w:t xml:space="preserve">Timing: </w:t>
      </w:r>
      <w:r>
        <w:rPr>
          <w:rFonts w:ascii="Arial" w:cs="Arial" w:eastAsia="Arial" w:hAnsi="Arial"/>
          <w:color w:val="333333"/>
          <w:sz w:val="22"/>
          <w:szCs w:val="22"/>
        </w:rPr>
        <w:t xml:space="preserve">Both CMAs reflect appraisal-based valuations with retrospective dates of November 2025. The current investor bid is materially above those anchors, and active comparable sales (121 7th Ave N, 1121 Beach Dr NE) confirm the market has continued moving.</w:t>
      </w:r>
    </w:p>
    <w:p>
      <w:pPr>
        <w:pStyle w:val="ListParagraph"/>
        <w:numPr>
          <w:ilvl w:val="0"/>
          <w:numId w:val="2"/>
        </w:numPr>
        <w:spacing w:after="60" w:before="60"/>
      </w:pPr>
      <w:r>
        <w:rPr>
          <w:rFonts w:ascii="Arial" w:cs="Arial" w:eastAsia="Arial" w:hAnsi="Arial"/>
          <w:b/>
          <w:bCs/>
          <w:color w:val="333333"/>
          <w:sz w:val="22"/>
          <w:szCs w:val="22"/>
        </w:rPr>
        <w:t xml:space="preserve">Adjacency Premium: </w:t>
      </w:r>
      <w:r>
        <w:rPr>
          <w:rFonts w:ascii="Arial" w:cs="Arial" w:eastAsia="Arial" w:hAnsi="Arial"/>
          <w:color w:val="333333"/>
          <w:sz w:val="22"/>
          <w:szCs w:val="22"/>
        </w:rPr>
        <w:t xml:space="preserve">The proximity of these two assets — on the same block of 6th Avenue N — creates a portfolio footprint that a single-asset buyer cannot replicate. That adjacency has independent strategic value for any owner-operator, syndicator, or assemblage-focused buyer.</w:t>
      </w:r>
    </w:p>
    <w:p>
      <w:r>
        <w:br w:type="page"/>
      </w:r>
    </w:p>
    <w:p>
      <w:pPr>
        <w:pStyle w:val="Heading1"/>
        <w:spacing w:after="160" w:before="360"/>
      </w:pPr>
      <w:r>
        <w:rPr>
          <w:rFonts w:ascii="Arial" w:cs="Arial" w:eastAsia="Arial" w:hAnsi="Arial"/>
          <w:b/>
          <w:bCs/>
          <w:color w:val="1B3A5C"/>
          <w:sz w:val="32"/>
          <w:szCs w:val="32"/>
        </w:rPr>
        <w:t xml:space="preserve">SECTION 2: MARKETING TRACK 1 — THE PORTFOLIO PLAY</w:t>
      </w:r>
    </w:p>
    <w:p>
      <w:pPr>
        <w:pBdr>
          <w:bottom w:val="single" w:color="C8972B" w:sz="6" w:space="1"/>
        </w:pBdr>
        <w:spacing w:after="160" w:before="160"/>
      </w:pPr>
    </w:p>
    <w:p>
      <w:pPr>
        <w:spacing w:after="80" w:before="80"/>
      </w:pPr>
      <w:r>
        <w:rPr>
          <w:rFonts w:ascii="Arial" w:cs="Arial" w:eastAsia="Arial" w:hAnsi="Arial"/>
          <w:b/>
          <w:bCs/>
          <w:color w:val="C8972B"/>
          <w:sz w:val="20"/>
          <w:szCs w:val="20"/>
        </w:rPr>
        <w:t xml:space="preserve">TARGET AUDIENCE: </w:t>
      </w:r>
      <w:r>
        <w:rPr>
          <w:rFonts w:ascii="Arial" w:cs="Arial" w:eastAsia="Arial" w:hAnsi="Arial"/>
          <w:i/>
          <w:iCs/>
          <w:color w:val="555555"/>
          <w:sz w:val="20"/>
          <w:szCs w:val="20"/>
        </w:rPr>
        <w:t xml:space="preserve">Multifamily syndicators, private equity groups, institutional value-add funds, high-net-worth portfolio buyers, and 1031-exchange investors seeking scale</w:t>
      </w:r>
    </w:p>
    <w:p>
      <w:pPr>
        <w:spacing w:after="80" w:before="80"/>
      </w:pPr>
    </w:p>
    <w:p>
      <w:pPr>
        <w:pStyle w:val="Heading2"/>
        <w:spacing w:after="120" w:before="280"/>
      </w:pPr>
      <w:r>
        <w:rPr>
          <w:rFonts w:ascii="Arial" w:cs="Arial" w:eastAsia="Arial" w:hAnsi="Arial"/>
          <w:b/>
          <w:bCs/>
          <w:color w:val="1B3A5C"/>
          <w:sz w:val="26"/>
          <w:szCs w:val="26"/>
        </w:rPr>
        <w:t xml:space="preserve">Offering Memorandum Headline Options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3A5C" w:sz="4"/>
              <w:left w:val="single" w:color="C8972B" w:sz="16"/>
              <w:bottom w:val="single" w:color="1B3A5C" w:sz="4"/>
              <w:right w:val="single" w:color="1B3A5C" w:sz="4"/>
            </w:tcBorders>
            <w:shd w:fill="D5E8F0" w:val="clear"/>
            <w:tcMar>
              <w:top w:type="dxa" w:w="160"/>
              <w:left w:type="dxa" w:w="200"/>
              <w:bottom w:type="dxa" w:w="160"/>
              <w:right w:type="dxa" w:w="200"/>
            </w:tcMar>
          </w:tcPr>
          <w:p>
            <w:pPr>
              <w:spacing w:after="60" w:before="60"/>
            </w:pPr>
            <w:r>
              <w:rPr>
                <w:rFonts w:ascii="Arial" w:cs="Arial" w:eastAsia="Arial" w:hAnsi="Arial"/>
                <w:b/>
                <w:bCs/>
                <w:color w:val="1B3A5C"/>
                <w:sz w:val="22"/>
                <w:szCs w:val="22"/>
              </w:rPr>
              <w:t xml:space="preserve">HEADLINE A: </w:t>
            </w:r>
            <w:r>
              <w:rPr>
                <w:rFonts w:ascii="Arial" w:cs="Arial" w:eastAsia="Arial" w:hAnsi="Arial"/>
                <w:i/>
                <w:iCs/>
                <w:color w:val="333333"/>
                <w:sz w:val="22"/>
                <w:szCs w:val="22"/>
              </w:rPr>
              <w:t xml:space="preserve">"10 Units. One Block. One Opportunity."</w:t>
            </w:r>
          </w:p>
          <w:p>
            <w:pPr>
              <w:spacing w:after="60" w:before="60"/>
            </w:pPr>
            <w:r>
              <w:rPr>
                <w:rFonts w:ascii="Arial" w:cs="Arial" w:eastAsia="Arial" w:hAnsi="Arial"/>
                <w:b/>
                <w:bCs/>
                <w:color w:val="1B3A5C"/>
                <w:sz w:val="22"/>
                <w:szCs w:val="22"/>
              </w:rPr>
              <w:t xml:space="preserve">HEADLINE B: </w:t>
            </w:r>
            <w:r>
              <w:rPr>
                <w:rFonts w:ascii="Arial" w:cs="Arial" w:eastAsia="Arial" w:hAnsi="Arial"/>
                <w:i/>
                <w:iCs/>
                <w:color w:val="333333"/>
                <w:sz w:val="22"/>
                <w:szCs w:val="22"/>
              </w:rPr>
              <w:t xml:space="preserve">"Acquire the Block: 10-Unit Value-Add Portfolio in the Heart of Historic Old Northeast, St. Petersburg"</w:t>
            </w:r>
          </w:p>
          <w:p>
            <w:pPr>
              <w:spacing w:after="60" w:before="60"/>
            </w:pPr>
            <w:r>
              <w:rPr>
                <w:rFonts w:ascii="Arial" w:cs="Arial" w:eastAsia="Arial" w:hAnsi="Arial"/>
                <w:b/>
                <w:bCs/>
                <w:color w:val="1B3A5C"/>
                <w:sz w:val="22"/>
                <w:szCs w:val="22"/>
              </w:rPr>
              <w:t xml:space="preserve">HEADLINE C: </w:t>
            </w:r>
            <w:r>
              <w:rPr>
                <w:rFonts w:ascii="Arial" w:cs="Arial" w:eastAsia="Arial" w:hAnsi="Arial"/>
                <w:i/>
                <w:iCs/>
                <w:color w:val="333333"/>
                <w:sz w:val="22"/>
                <w:szCs w:val="22"/>
              </w:rPr>
              <w:t xml:space="preserve">"Rare Adjacent Portfolio Acquisition — 40%+ Rent Upside | Downtown St. Pete | 10 Units | $2.15M"</w:t>
            </w:r>
          </w:p>
          <w:p>
            <w:pPr>
              <w:spacing w:after="60" w:before="60"/>
            </w:pPr>
            <w:r>
              <w:rPr>
                <w:rFonts w:ascii="Arial" w:cs="Arial" w:eastAsia="Arial" w:hAnsi="Arial"/>
                <w:b/>
                <w:bCs/>
                <w:color w:val="1B3A5C"/>
                <w:sz w:val="22"/>
                <w:szCs w:val="22"/>
              </w:rPr>
              <w:t xml:space="preserve">HEADLINE D: </w:t>
            </w:r>
            <w:r>
              <w:rPr>
                <w:rFonts w:ascii="Arial" w:cs="Arial" w:eastAsia="Arial" w:hAnsi="Arial"/>
                <w:i/>
                <w:iCs/>
                <w:color w:val="333333"/>
                <w:sz w:val="22"/>
                <w:szCs w:val="22"/>
              </w:rPr>
              <w:t xml:space="preserve">"The Last Easy Buy on 6th Ave: Two-Building, 10-Unit Value-Add Play Steps from Downtown St. Pete"</w:t>
            </w:r>
          </w:p>
        </w:tc>
      </w:tr>
    </w:tbl>
    <w:p>
      <w:pPr>
        <w:spacing w:after="80" w:before="80"/>
      </w:pPr>
    </w:p>
    <w:p>
      <w:pPr>
        <w:pStyle w:val="Heading2"/>
        <w:spacing w:after="120" w:before="280"/>
      </w:pPr>
      <w:r>
        <w:rPr>
          <w:rFonts w:ascii="Arial" w:cs="Arial" w:eastAsia="Arial" w:hAnsi="Arial"/>
          <w:b/>
          <w:bCs/>
          <w:color w:val="1B3A5C"/>
          <w:sz w:val="26"/>
          <w:szCs w:val="26"/>
        </w:rPr>
        <w:t xml:space="preserve">Portfolio Marketing Summary</w:t>
      </w:r>
    </w:p>
    <w:p>
      <w:pPr>
        <w:spacing w:after="80" w:before="80"/>
      </w:pPr>
      <w:r>
        <w:rPr>
          <w:rFonts w:ascii="Arial" w:cs="Arial" w:eastAsia="Arial" w:hAnsi="Arial"/>
          <w:color w:val="333333"/>
          <w:sz w:val="22"/>
          <w:szCs w:val="22"/>
        </w:rPr>
        <w:t xml:space="preserve">Rarely does a private multifamily investor gain the opportunity to acquire two adjacent income-producing properties in one of Downtown St. Petersburg's most sought-after rental corridors. 247 and 255 6th Avenue N represent exactly that — a seamlessly combined 10-unit portfolio positioned for immediate rent normalization, operational consolidation, and long-term appreciation in a supply-constrained urban submarket.</w:t>
      </w:r>
    </w:p>
    <w:p>
      <w:pPr>
        <w:spacing w:after="80" w:before="80"/>
      </w:pPr>
    </w:p>
    <w:p>
      <w:pPr>
        <w:spacing w:after="80" w:before="80"/>
      </w:pPr>
      <w:r>
        <w:rPr>
          <w:rFonts w:ascii="Arial" w:cs="Arial" w:eastAsia="Arial" w:hAnsi="Arial"/>
          <w:color w:val="333333"/>
          <w:sz w:val="22"/>
          <w:szCs w:val="22"/>
        </w:rPr>
        <w:t xml:space="preserve">Situated side-by-side on the same block of Historic Old Northeast's 6th Avenue N, these two concrete and wood-frame multifamily assets deliver combined in-place income, single-market management efficiency, and a rent growth story that is already underwritten by third-party appraisal data. The path to value creation is clear, immediate, and operator-driven — no permitting delays, no entitlement risk, no construction timeline.</w:t>
      </w:r>
    </w:p>
    <w:p>
      <w:pPr>
        <w:spacing w:after="80" w:before="80"/>
      </w:pPr>
    </w:p>
    <w:p>
      <w:pPr>
        <w:spacing w:after="80" w:before="200"/>
      </w:pPr>
      <w:r>
        <w:rPr>
          <w:rFonts w:ascii="Arial" w:cs="Arial" w:eastAsia="Arial" w:hAnsi="Arial"/>
          <w:b/>
          <w:bCs/>
          <w:color w:val="C8972B"/>
          <w:sz w:val="22"/>
          <w:szCs w:val="22"/>
        </w:rPr>
        <w:t xml:space="preserve">Portfolio Key Metrics at a Glance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Portfolio Attribute</w:t>
            </w:r>
          </w:p>
        </w:tc>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Detail</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Total Units</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10 (4-unit + 6-unit)</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Combined List Price</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$2,150,000</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Price Per Unit</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$215,000</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Combined In-Place Monthly Rent</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$8,650 / mo (247: $4,500 | 255: $4,150)</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Combined Stabilized Monthly Rent (Market)</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~$14,000 / mo</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Rent Upside to Stabilization</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+$64,200 / yr (~62% income growth)</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Both Properties — Flood Zone</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X (no mandatory flood insurance)</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Distance Between Properties</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Adjacent / same block</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Year Built</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1954 (247) | 1925 (255)</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Construction</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Concrete Block (247) | Wood Frame (255)</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Parking</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4-6 spaces on-site (247) | Street (255)</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Combined Building Area (approx.)</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~5,892 SF</w:t>
            </w:r>
          </w:p>
        </w:tc>
      </w:tr>
    </w:tbl>
    <w:p>
      <w:pPr>
        <w:spacing w:after="80" w:before="80"/>
      </w:pPr>
    </w:p>
    <w:p>
      <w:pPr>
        <w:pStyle w:val="Heading2"/>
        <w:spacing w:after="120" w:before="280"/>
      </w:pPr>
      <w:r>
        <w:rPr>
          <w:rFonts w:ascii="Arial" w:cs="Arial" w:eastAsia="Arial" w:hAnsi="Arial"/>
          <w:b/>
          <w:bCs/>
          <w:color w:val="1B3A5C"/>
          <w:sz w:val="26"/>
          <w:szCs w:val="26"/>
        </w:rPr>
        <w:t xml:space="preserve">The Synergy Case: Why Together Is Worth More</w:t>
      </w:r>
    </w:p>
    <w:p>
      <w:pPr>
        <w:pStyle w:val="ListParagraph"/>
        <w:numPr>
          <w:ilvl w:val="0"/>
          <w:numId w:val="2"/>
        </w:numPr>
        <w:spacing w:after="60" w:before="60"/>
      </w:pPr>
      <w:r>
        <w:rPr>
          <w:rFonts w:ascii="Arial" w:cs="Arial" w:eastAsia="Arial" w:hAnsi="Arial"/>
          <w:b/>
          <w:bCs/>
          <w:color w:val="333333"/>
          <w:sz w:val="22"/>
          <w:szCs w:val="22"/>
        </w:rPr>
        <w:t xml:space="preserve">Operational Efficiency: </w:t>
      </w:r>
      <w:r>
        <w:rPr>
          <w:rFonts w:ascii="Arial" w:cs="Arial" w:eastAsia="Arial" w:hAnsi="Arial"/>
          <w:color w:val="333333"/>
          <w:sz w:val="22"/>
          <w:szCs w:val="22"/>
        </w:rPr>
        <w:t xml:space="preserve">Both properties share the same rental market, the same tenant profile, and the same demand drivers. One property manager, one insurance renewal, one annual tax strategy, one relationship with a local maintenance crew.</w:t>
      </w:r>
    </w:p>
    <w:p>
      <w:pPr>
        <w:pStyle w:val="ListParagraph"/>
        <w:numPr>
          <w:ilvl w:val="0"/>
          <w:numId w:val="2"/>
        </w:numPr>
        <w:spacing w:after="60" w:before="60"/>
      </w:pPr>
      <w:r>
        <w:rPr>
          <w:rFonts w:ascii="Arial" w:cs="Arial" w:eastAsia="Arial" w:hAnsi="Arial"/>
          <w:b/>
          <w:bCs/>
          <w:color w:val="333333"/>
          <w:sz w:val="22"/>
          <w:szCs w:val="22"/>
        </w:rPr>
        <w:t xml:space="preserve">Submarket Pricing Control: </w:t>
      </w:r>
      <w:r>
        <w:rPr>
          <w:rFonts w:ascii="Arial" w:cs="Arial" w:eastAsia="Arial" w:hAnsi="Arial"/>
          <w:color w:val="333333"/>
          <w:sz w:val="22"/>
          <w:szCs w:val="22"/>
        </w:rPr>
        <w:t xml:space="preserve">With 10 units under common ownership on a single block, the buyer commands rental pricing for the entire micro-corridor. Setting rents at 247 directly informs lease-up velocity at 255, and vice versa. This pricing power does not exist for a single-asset buyer.</w:t>
      </w:r>
    </w:p>
    <w:p>
      <w:pPr>
        <w:pStyle w:val="ListParagraph"/>
        <w:numPr>
          <w:ilvl w:val="0"/>
          <w:numId w:val="2"/>
        </w:numPr>
        <w:spacing w:after="60" w:before="60"/>
      </w:pPr>
      <w:r>
        <w:rPr>
          <w:rFonts w:ascii="Arial" w:cs="Arial" w:eastAsia="Arial" w:hAnsi="Arial"/>
          <w:b/>
          <w:bCs/>
          <w:color w:val="333333"/>
          <w:sz w:val="22"/>
          <w:szCs w:val="22"/>
        </w:rPr>
        <w:t xml:space="preserve">Assemblage &amp; Future Optionality: </w:t>
      </w:r>
      <w:r>
        <w:rPr>
          <w:rFonts w:ascii="Arial" w:cs="Arial" w:eastAsia="Arial" w:hAnsi="Arial"/>
          <w:color w:val="333333"/>
          <w:sz w:val="22"/>
          <w:szCs w:val="22"/>
        </w:rPr>
        <w:t xml:space="preserve">Two adjacent lots totaling approximately 10,478 SF in a Downtown/Old Northeast location where new multifamily development faces NT-2 zoning constraints and height limitations creates long-term optionality. A future buyer, developer, or REIT seeking a redevelopment pad will pay a premium for the combined footprint that neither parcel commands alone.</w:t>
      </w:r>
    </w:p>
    <w:p>
      <w:pPr>
        <w:pStyle w:val="ListParagraph"/>
        <w:numPr>
          <w:ilvl w:val="0"/>
          <w:numId w:val="2"/>
        </w:numPr>
        <w:spacing w:after="60" w:before="60"/>
      </w:pPr>
      <w:r>
        <w:rPr>
          <w:rFonts w:ascii="Arial" w:cs="Arial" w:eastAsia="Arial" w:hAnsi="Arial"/>
          <w:b/>
          <w:bCs/>
          <w:color w:val="333333"/>
          <w:sz w:val="22"/>
          <w:szCs w:val="22"/>
        </w:rPr>
        <w:t xml:space="preserve">Below-Market Entry Basis: </w:t>
      </w:r>
      <w:r>
        <w:rPr>
          <w:rFonts w:ascii="Arial" w:cs="Arial" w:eastAsia="Arial" w:hAnsi="Arial"/>
          <w:color w:val="333333"/>
          <w:sz w:val="22"/>
          <w:szCs w:val="22"/>
        </w:rPr>
        <w:t xml:space="preserve">On a per-unit basis, the portfolio price of $215,000/unit falls well within the range supported by recent comparable sales ($180,000–$265,000/unit), and below the top-of-market trades. The buyer enters with immediate equity cushion.</w:t>
      </w:r>
    </w:p>
    <w:p>
      <w:pPr>
        <w:pStyle w:val="ListParagraph"/>
        <w:numPr>
          <w:ilvl w:val="0"/>
          <w:numId w:val="2"/>
        </w:numPr>
        <w:spacing w:after="60" w:before="60"/>
      </w:pPr>
      <w:r>
        <w:rPr>
          <w:rFonts w:ascii="Arial" w:cs="Arial" w:eastAsia="Arial" w:hAnsi="Arial"/>
          <w:b/>
          <w:bCs/>
          <w:color w:val="333333"/>
          <w:sz w:val="22"/>
          <w:szCs w:val="22"/>
        </w:rPr>
        <w:t xml:space="preserve">Financing Flexibility: </w:t>
      </w:r>
      <w:r>
        <w:rPr>
          <w:rFonts w:ascii="Arial" w:cs="Arial" w:eastAsia="Arial" w:hAnsi="Arial"/>
          <w:color w:val="333333"/>
          <w:sz w:val="22"/>
          <w:szCs w:val="22"/>
        </w:rPr>
        <w:t xml:space="preserve">Financing a 10-unit portfolio often opens access to commercial loan structures unavailable to buyers of sub-10-unit properties, including agency-eligible debt, longer amortization periods, and interest-only bridge products suited to the value-add execution period.</w:t>
      </w:r>
    </w:p>
    <w:p>
      <w:pPr>
        <w:spacing w:after="80" w:before="80"/>
      </w:pPr>
    </w:p>
    <w:p>
      <w:pPr>
        <w:pStyle w:val="Heading2"/>
        <w:spacing w:after="120" w:before="280"/>
      </w:pPr>
      <w:r>
        <w:rPr>
          <w:rFonts w:ascii="Arial" w:cs="Arial" w:eastAsia="Arial" w:hAnsi="Arial"/>
          <w:b/>
          <w:bCs/>
          <w:color w:val="1B3A5C"/>
          <w:sz w:val="26"/>
          <w:szCs w:val="26"/>
        </w:rPr>
        <w:t xml:space="preserve">Portfolio Investment Highlights for Offering Memorandum</w:t>
      </w:r>
    </w:p>
    <w:p>
      <w:pPr>
        <w:pStyle w:val="ListParagraph"/>
        <w:numPr>
          <w:ilvl w:val="0"/>
          <w:numId w:val="2"/>
        </w:numPr>
        <w:spacing w:after="60" w:before="60"/>
      </w:pPr>
      <w:r>
        <w:rPr>
          <w:rFonts w:ascii="Arial" w:cs="Arial" w:eastAsia="Arial" w:hAnsi="Arial"/>
          <w:color w:val="333333"/>
          <w:sz w:val="22"/>
          <w:szCs w:val="22"/>
        </w:rPr>
        <w:t xml:space="preserve">10 units | adjacent parcels | one acquisition close</w:t>
      </w:r>
    </w:p>
    <w:p>
      <w:pPr>
        <w:pStyle w:val="ListParagraph"/>
        <w:numPr>
          <w:ilvl w:val="0"/>
          <w:numId w:val="2"/>
        </w:numPr>
        <w:spacing w:after="60" w:before="60"/>
      </w:pPr>
      <w:r>
        <w:rPr>
          <w:rFonts w:ascii="Arial" w:cs="Arial" w:eastAsia="Arial" w:hAnsi="Arial"/>
          <w:color w:val="333333"/>
          <w:sz w:val="22"/>
          <w:szCs w:val="22"/>
        </w:rPr>
        <w:t xml:space="preserve">Combined stabilized gross potential income: ~$168,000/yr at market rents | ~$64,200/yr income uplift over in-place</w:t>
      </w:r>
    </w:p>
    <w:p>
      <w:pPr>
        <w:pStyle w:val="ListParagraph"/>
        <w:numPr>
          <w:ilvl w:val="0"/>
          <w:numId w:val="2"/>
        </w:numPr>
        <w:spacing w:after="60" w:before="60"/>
      </w:pPr>
      <w:r>
        <w:rPr>
          <w:rFonts w:ascii="Arial" w:cs="Arial" w:eastAsia="Arial" w:hAnsi="Arial"/>
          <w:color w:val="333333"/>
          <w:sz w:val="22"/>
          <w:szCs w:val="22"/>
        </w:rPr>
        <w:t xml:space="preserve">Both assets appraised by Tod Marr &amp; Associates (Nov. 2025) — third-party underwriting support in place</w:t>
      </w:r>
    </w:p>
    <w:p>
      <w:pPr>
        <w:pStyle w:val="ListParagraph"/>
        <w:numPr>
          <w:ilvl w:val="0"/>
          <w:numId w:val="2"/>
        </w:numPr>
        <w:spacing w:after="60" w:before="60"/>
      </w:pPr>
      <w:r>
        <w:rPr>
          <w:rFonts w:ascii="Arial" w:cs="Arial" w:eastAsia="Arial" w:hAnsi="Arial"/>
          <w:color w:val="333333"/>
          <w:sz w:val="22"/>
          <w:szCs w:val="22"/>
        </w:rPr>
        <w:t xml:space="preserve">Appraisal-supported combined baseline value: ~$2,160,000 — portfolio price represents compelling entry vs. stabilized upside</w:t>
      </w:r>
    </w:p>
    <w:p>
      <w:pPr>
        <w:pStyle w:val="ListParagraph"/>
        <w:numPr>
          <w:ilvl w:val="0"/>
          <w:numId w:val="2"/>
        </w:numPr>
        <w:spacing w:after="60" w:before="60"/>
      </w:pPr>
      <w:r>
        <w:rPr>
          <w:rFonts w:ascii="Arial" w:cs="Arial" w:eastAsia="Arial" w:hAnsi="Arial"/>
          <w:color w:val="333333"/>
          <w:sz w:val="22"/>
          <w:szCs w:val="22"/>
        </w:rPr>
        <w:t xml:space="preserve">Both properties in Flood Zone X — significant insurance cost advantage</w:t>
      </w:r>
    </w:p>
    <w:p>
      <w:pPr>
        <w:pStyle w:val="ListParagraph"/>
        <w:numPr>
          <w:ilvl w:val="0"/>
          <w:numId w:val="2"/>
        </w:numPr>
        <w:spacing w:after="60" w:before="60"/>
      </w:pPr>
      <w:r>
        <w:rPr>
          <w:rFonts w:ascii="Arial" w:cs="Arial" w:eastAsia="Arial" w:hAnsi="Arial"/>
          <w:color w:val="333333"/>
          <w:sz w:val="22"/>
          <w:szCs w:val="22"/>
        </w:rPr>
        <w:t xml:space="preserve">Walking distance to Bayside Health, The Pier District, Beach Drive dining, and Publix — top-tier tenant demand drivers</w:t>
      </w:r>
    </w:p>
    <w:p>
      <w:pPr>
        <w:pStyle w:val="ListParagraph"/>
        <w:numPr>
          <w:ilvl w:val="0"/>
          <w:numId w:val="2"/>
        </w:numPr>
        <w:spacing w:after="60" w:before="60"/>
      </w:pPr>
      <w:r>
        <w:rPr>
          <w:rFonts w:ascii="Arial" w:cs="Arial" w:eastAsia="Arial" w:hAnsi="Arial"/>
          <w:color w:val="333333"/>
          <w:sz w:val="22"/>
          <w:szCs w:val="22"/>
        </w:rPr>
        <w:t xml:space="preserve">No institutional ownership in the immediate corridor — rare private market availability</w:t>
      </w:r>
    </w:p>
    <w:p>
      <w:pPr>
        <w:pStyle w:val="ListParagraph"/>
        <w:numPr>
          <w:ilvl w:val="0"/>
          <w:numId w:val="2"/>
        </w:numPr>
        <w:spacing w:after="60" w:before="60"/>
      </w:pPr>
      <w:r>
        <w:rPr>
          <w:rFonts w:ascii="Arial" w:cs="Arial" w:eastAsia="Arial" w:hAnsi="Arial"/>
          <w:color w:val="333333"/>
          <w:sz w:val="22"/>
          <w:szCs w:val="22"/>
        </w:rPr>
        <w:t xml:space="preserve">Historic Old Northeast location: one of Tampa Bay's most consistently appreciating urban residential submarkets</w:t>
      </w:r>
    </w:p>
    <w:p>
      <w:r>
        <w:br w:type="page"/>
      </w:r>
    </w:p>
    <w:p>
      <w:pPr>
        <w:pStyle w:val="Heading1"/>
        <w:spacing w:after="160" w:before="360"/>
      </w:pPr>
      <w:r>
        <w:rPr>
          <w:rFonts w:ascii="Arial" w:cs="Arial" w:eastAsia="Arial" w:hAnsi="Arial"/>
          <w:b/>
          <w:bCs/>
          <w:color w:val="1B3A5C"/>
          <w:sz w:val="32"/>
          <w:szCs w:val="32"/>
        </w:rPr>
        <w:t xml:space="preserve">SECTION 3: MARKETING TRACK 2 — THE INDIVIDUAL PLAYS</w:t>
      </w:r>
    </w:p>
    <w:p>
      <w:pPr>
        <w:pBdr>
          <w:bottom w:val="single" w:color="C8972B" w:sz="6" w:space="1"/>
        </w:pBdr>
        <w:spacing w:after="160" w:before="160"/>
      </w:pPr>
    </w:p>
    <w:p>
      <w:pPr>
        <w:spacing w:after="80" w:before="160"/>
      </w:pPr>
      <w:r>
        <w:rPr>
          <w:rFonts w:ascii="Arial" w:cs="Arial" w:eastAsia="Arial" w:hAnsi="Arial"/>
          <w:b/>
          <w:bCs/>
          <w:color w:val="C8972B"/>
          <w:sz w:val="28"/>
          <w:szCs w:val="28"/>
        </w:rPr>
        <w:t xml:space="preserve">PROPERTY A</w:t>
      </w:r>
    </w:p>
    <w:p>
      <w:pPr>
        <w:spacing w:after="80" w:before="40"/>
      </w:pPr>
      <w:r>
        <w:rPr>
          <w:rFonts w:ascii="Arial" w:cs="Arial" w:eastAsia="Arial" w:hAnsi="Arial"/>
          <w:b/>
          <w:bCs/>
          <w:color w:val="1B3A5C"/>
          <w:sz w:val="26"/>
          <w:szCs w:val="26"/>
        </w:rPr>
        <w:t xml:space="preserve">247 6th Avenue N. — The Classic Fourplex</w:t>
      </w:r>
    </w:p>
    <w:p>
      <w:pPr>
        <w:spacing w:after="80" w:before="80"/>
      </w:pPr>
      <w:r>
        <w:rPr>
          <w:rFonts w:ascii="Arial" w:cs="Arial" w:eastAsia="Arial" w:hAnsi="Arial"/>
          <w:b/>
          <w:bCs/>
          <w:color w:val="1B3A5C"/>
          <w:sz w:val="22"/>
          <w:szCs w:val="22"/>
        </w:rPr>
        <w:t xml:space="preserve">LIST PRICE: </w:t>
      </w:r>
      <w:r>
        <w:rPr>
          <w:rFonts w:ascii="Arial" w:cs="Arial" w:eastAsia="Arial" w:hAnsi="Arial"/>
          <w:b/>
          <w:bCs/>
          <w:color w:val="C8972B"/>
          <w:sz w:val="22"/>
          <w:szCs w:val="22"/>
        </w:rPr>
        <w:t xml:space="preserve">$950,000  |  4 Units  |  $237,500/Unit</w:t>
      </w:r>
    </w:p>
    <w:p>
      <w:pPr>
        <w:spacing w:after="80" w:before="200"/>
      </w:pPr>
      <w:r>
        <w:rPr>
          <w:rFonts w:ascii="Arial" w:cs="Arial" w:eastAsia="Arial" w:hAnsi="Arial"/>
          <w:b/>
          <w:bCs/>
          <w:color w:val="C8972B"/>
          <w:sz w:val="22"/>
          <w:szCs w:val="22"/>
        </w:rPr>
        <w:t xml:space="preserve">Marketing Angle: "The Fourplex That Pays You to Own It — With Room to Run"</w:t>
      </w:r>
    </w:p>
    <w:p>
      <w:pPr>
        <w:spacing w:after="80" w:before="80"/>
      </w:pPr>
      <w:r>
        <w:rPr>
          <w:rFonts w:ascii="Arial" w:cs="Arial" w:eastAsia="Arial" w:hAnsi="Arial"/>
          <w:color w:val="333333"/>
          <w:sz w:val="22"/>
          <w:szCs w:val="22"/>
        </w:rPr>
        <w:t xml:space="preserve">247 6th Avenue N. is the quintessential value-add fourplex in one of St. Petersburg's most walkable, most desirable rental corridors. Concrete block construction. Four-to-six on-site parking spaces. A unit mix of three one-bedrooms and one two-bedroom — the most financeable, most liquid product type in the small multifamily sector. And a rent roll sitting nearly $17,400 per year below where the market already is.</w:t>
      </w:r>
    </w:p>
    <w:p>
      <w:pPr>
        <w:spacing w:after="80" w:before="80"/>
      </w:pPr>
    </w:p>
    <w:p>
      <w:pPr>
        <w:spacing w:after="80" w:before="80"/>
      </w:pPr>
      <w:r>
        <w:rPr>
          <w:rFonts w:ascii="Arial" w:cs="Arial" w:eastAsia="Arial" w:hAnsi="Arial"/>
          <w:color w:val="333333"/>
          <w:sz w:val="22"/>
          <w:szCs w:val="22"/>
        </w:rPr>
        <w:t xml:space="preserve">The current rents are not a problem. They are the opportunity.</w:t>
      </w:r>
    </w:p>
    <w:p>
      <w:pPr>
        <w:spacing w:after="80" w:before="80"/>
      </w:pPr>
    </w:p>
    <w:p>
      <w:pPr>
        <w:spacing w:after="80" w:before="80"/>
      </w:pPr>
      <w:r>
        <w:rPr>
          <w:rFonts w:ascii="Arial" w:cs="Arial" w:eastAsia="Arial" w:hAnsi="Arial"/>
          <w:color w:val="333333"/>
          <w:sz w:val="22"/>
          <w:szCs w:val="22"/>
        </w:rPr>
        <w:t xml:space="preserve">The appraiser's own market rent conclusions ($1,400/mo per 1BR; $1,700/mo for the 2BR/2BA) are being achieved by comparable units within blocks of this property — today, without renovation. The stabilized income story here does not require a gut renovation or a city permit. It requires a disciplined landlord willing to bring leases to market as they roll.</w:t>
      </w:r>
    </w:p>
    <w:p>
      <w:pPr>
        <w:spacing w:after="80" w:before="80"/>
      </w:pPr>
    </w:p>
    <w:p>
      <w:pPr>
        <w:spacing w:after="80" w:before="200"/>
      </w:pPr>
      <w:r>
        <w:rPr>
          <w:rFonts w:ascii="Arial" w:cs="Arial" w:eastAsia="Arial" w:hAnsi="Arial"/>
          <w:b/>
          <w:bCs/>
          <w:color w:val="C8972B"/>
          <w:sz w:val="22"/>
          <w:szCs w:val="22"/>
        </w:rPr>
        <w:t xml:space="preserve">Property A — Individual Marketing Bullets</w:t>
      </w:r>
    </w:p>
    <w:p>
      <w:pPr>
        <w:pStyle w:val="ListParagraph"/>
        <w:numPr>
          <w:ilvl w:val="0"/>
          <w:numId w:val="2"/>
        </w:numPr>
        <w:spacing w:after="60" w:before="60"/>
      </w:pPr>
      <w:r>
        <w:rPr>
          <w:rFonts w:ascii="Arial" w:cs="Arial" w:eastAsia="Arial" w:hAnsi="Arial"/>
          <w:color w:val="333333"/>
          <w:sz w:val="22"/>
          <w:szCs w:val="22"/>
        </w:rPr>
        <w:t xml:space="preserve">4-unit concrete block building — built 1954, maintained condition</w:t>
      </w:r>
    </w:p>
    <w:p>
      <w:pPr>
        <w:pStyle w:val="ListParagraph"/>
        <w:numPr>
          <w:ilvl w:val="0"/>
          <w:numId w:val="2"/>
        </w:numPr>
        <w:spacing w:after="60" w:before="60"/>
      </w:pPr>
      <w:r>
        <w:rPr>
          <w:rFonts w:ascii="Arial" w:cs="Arial" w:eastAsia="Arial" w:hAnsi="Arial"/>
          <w:color w:val="333333"/>
          <w:sz w:val="22"/>
          <w:szCs w:val="22"/>
        </w:rPr>
        <w:t xml:space="preserve">Unit mix: 3 x 1BR/1BA + 1 x 2BR/2BA — ideal for multifamily financing and owner-occupant demand</w:t>
      </w:r>
    </w:p>
    <w:p>
      <w:pPr>
        <w:pStyle w:val="ListParagraph"/>
        <w:numPr>
          <w:ilvl w:val="0"/>
          <w:numId w:val="2"/>
        </w:numPr>
        <w:spacing w:after="60" w:before="60"/>
      </w:pPr>
      <w:r>
        <w:rPr>
          <w:rFonts w:ascii="Arial" w:cs="Arial" w:eastAsia="Arial" w:hAnsi="Arial"/>
          <w:color w:val="333333"/>
          <w:sz w:val="22"/>
          <w:szCs w:val="22"/>
        </w:rPr>
        <w:t xml:space="preserve">On-site parking (4–6 spaces) — a genuine competitive advantage in walkable Downtown St. Pete</w:t>
      </w:r>
    </w:p>
    <w:p>
      <w:pPr>
        <w:pStyle w:val="ListParagraph"/>
        <w:numPr>
          <w:ilvl w:val="0"/>
          <w:numId w:val="2"/>
        </w:numPr>
        <w:spacing w:after="60" w:before="60"/>
      </w:pPr>
      <w:r>
        <w:rPr>
          <w:rFonts w:ascii="Arial" w:cs="Arial" w:eastAsia="Arial" w:hAnsi="Arial"/>
          <w:color w:val="333333"/>
          <w:sz w:val="22"/>
          <w:szCs w:val="22"/>
        </w:rPr>
        <w:t xml:space="preserve">Flood Zone X — no mandatory flood insurance required</w:t>
      </w:r>
    </w:p>
    <w:p>
      <w:pPr>
        <w:pStyle w:val="ListParagraph"/>
        <w:numPr>
          <w:ilvl w:val="0"/>
          <w:numId w:val="2"/>
        </w:numPr>
        <w:spacing w:after="60" w:before="60"/>
      </w:pPr>
      <w:r>
        <w:rPr>
          <w:rFonts w:ascii="Arial" w:cs="Arial" w:eastAsia="Arial" w:hAnsi="Arial"/>
          <w:color w:val="333333"/>
          <w:sz w:val="22"/>
          <w:szCs w:val="22"/>
        </w:rPr>
        <w:t xml:space="preserve">Current rents: $4,500/mo — Market rents: $5,900/mo — Upside: +$17,400/yr</w:t>
      </w:r>
    </w:p>
    <w:p>
      <w:pPr>
        <w:pStyle w:val="ListParagraph"/>
        <w:numPr>
          <w:ilvl w:val="0"/>
          <w:numId w:val="2"/>
        </w:numPr>
        <w:spacing w:after="60" w:before="60"/>
      </w:pPr>
      <w:r>
        <w:rPr>
          <w:rFonts w:ascii="Arial" w:cs="Arial" w:eastAsia="Arial" w:hAnsi="Arial"/>
          <w:color w:val="333333"/>
          <w:sz w:val="22"/>
          <w:szCs w:val="22"/>
        </w:rPr>
        <w:t xml:space="preserve">CMA listing range: $949,000–$1,075,000 | List price: $950,000 | Appraisal floor: $780,000–$850,000 | Stabilized value at 4.5% cap: ~$1.0M–$1.1M</w:t>
      </w:r>
    </w:p>
    <w:p>
      <w:pPr>
        <w:pStyle w:val="ListParagraph"/>
        <w:numPr>
          <w:ilvl w:val="0"/>
          <w:numId w:val="2"/>
        </w:numPr>
        <w:spacing w:after="60" w:before="60"/>
      </w:pPr>
      <w:r>
        <w:rPr>
          <w:rFonts w:ascii="Arial" w:cs="Arial" w:eastAsia="Arial" w:hAnsi="Arial"/>
          <w:color w:val="333333"/>
          <w:sz w:val="22"/>
          <w:szCs w:val="22"/>
        </w:rPr>
        <w:t xml:space="preserve">Two-minute walk to Beach Drive restaurants, The Pier, and waterfront amenities</w:t>
      </w:r>
    </w:p>
    <w:p>
      <w:pPr>
        <w:spacing w:after="80" w:before="80"/>
      </w:pPr>
    </w:p>
    <w:p>
      <w:pPr>
        <w:spacing w:after="80" w:before="200"/>
      </w:pPr>
      <w:r>
        <w:rPr>
          <w:rFonts w:ascii="Arial" w:cs="Arial" w:eastAsia="Arial" w:hAnsi="Arial"/>
          <w:b/>
          <w:bCs/>
          <w:color w:val="C8972B"/>
          <w:sz w:val="22"/>
          <w:szCs w:val="22"/>
        </w:rPr>
        <w:t xml:space="preserve">Property A — Headline Options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3A5C" w:sz="4"/>
              <w:left w:val="single" w:color="C8972B" w:sz="16"/>
              <w:bottom w:val="single" w:color="1B3A5C" w:sz="4"/>
              <w:right w:val="single" w:color="1B3A5C" w:sz="4"/>
            </w:tcBorders>
            <w:shd w:fill="D5E8F0" w:val="clear"/>
            <w:tcMar>
              <w:top w:type="dxa" w:w="160"/>
              <w:left w:type="dxa" w:w="200"/>
              <w:bottom w:type="dxa" w:w="160"/>
              <w:right w:type="dxa" w:w="200"/>
            </w:tcMar>
          </w:tcPr>
          <w:p>
            <w:pPr>
              <w:spacing w:after="60" w:before="60"/>
            </w:pPr>
            <w:r>
              <w:rPr>
                <w:rFonts w:ascii="Arial" w:cs="Arial" w:eastAsia="Arial" w:hAnsi="Arial"/>
                <w:i/>
                <w:iCs/>
                <w:color w:val="333333"/>
                <w:sz w:val="22"/>
                <w:szCs w:val="22"/>
              </w:rPr>
              <w:t xml:space="preserve">"The St. Pete Fourplex Every Smart Investor Has Been Waiting For" </w:t>
            </w:r>
          </w:p>
          <w:p>
            <w:pPr>
              <w:spacing w:after="60" w:before="60"/>
            </w:pPr>
            <w:r>
              <w:rPr>
                <w:rFonts w:ascii="Arial" w:cs="Arial" w:eastAsia="Arial" w:hAnsi="Arial"/>
                <w:i/>
                <w:iCs/>
                <w:color w:val="333333"/>
                <w:sz w:val="22"/>
                <w:szCs w:val="22"/>
              </w:rPr>
              <w:t xml:space="preserve">"4 Units. Parking. Flood Zone X. 57% Rent Upside. Downtown St. Pete." </w:t>
            </w:r>
          </w:p>
          <w:p>
            <w:pPr>
              <w:spacing w:after="60" w:before="60"/>
            </w:pPr>
            <w:r>
              <w:rPr>
                <w:rFonts w:ascii="Arial" w:cs="Arial" w:eastAsia="Arial" w:hAnsi="Arial"/>
                <w:i/>
                <w:iCs/>
                <w:color w:val="333333"/>
                <w:sz w:val="22"/>
                <w:szCs w:val="22"/>
              </w:rPr>
              <w:t xml:space="preserve">"Value-Add Fourplex — Downtown St. Pete — Rents 25% Below Market — Concrete Block — Move-In Ready"</w:t>
            </w:r>
          </w:p>
        </w:tc>
      </w:tr>
    </w:tbl>
    <w:p>
      <w:pPr>
        <w:spacing w:after="80" w:before="80"/>
      </w:pPr>
    </w:p>
    <w:p>
      <w:pPr>
        <w:pBdr>
          <w:bottom w:val="dashed" w:color="AAAAAA" w:sz="4" w:space="1"/>
        </w:pBdr>
        <w:spacing w:after="160" w:before="160"/>
      </w:pPr>
    </w:p>
    <w:p>
      <w:pPr>
        <w:spacing w:after="80" w:before="160"/>
      </w:pPr>
      <w:r>
        <w:rPr>
          <w:rFonts w:ascii="Arial" w:cs="Arial" w:eastAsia="Arial" w:hAnsi="Arial"/>
          <w:b/>
          <w:bCs/>
          <w:color w:val="C8972B"/>
          <w:sz w:val="28"/>
          <w:szCs w:val="28"/>
        </w:rPr>
        <w:t xml:space="preserve">PROPERTY B</w:t>
      </w:r>
    </w:p>
    <w:p>
      <w:pPr>
        <w:spacing w:after="80" w:before="40"/>
      </w:pPr>
      <w:r>
        <w:rPr>
          <w:rFonts w:ascii="Arial" w:cs="Arial" w:eastAsia="Arial" w:hAnsi="Arial"/>
          <w:b/>
          <w:bCs/>
          <w:color w:val="1B3A5C"/>
          <w:sz w:val="26"/>
          <w:szCs w:val="26"/>
        </w:rPr>
        <w:t xml:space="preserve">255 6th Avenue N. — The Historic Six-Unit Gem</w:t>
      </w:r>
    </w:p>
    <w:p>
      <w:pPr>
        <w:spacing w:after="80" w:before="80"/>
      </w:pPr>
      <w:r>
        <w:rPr>
          <w:rFonts w:ascii="Arial" w:cs="Arial" w:eastAsia="Arial" w:hAnsi="Arial"/>
          <w:b/>
          <w:bCs/>
          <w:color w:val="1B3A5C"/>
          <w:sz w:val="22"/>
          <w:szCs w:val="22"/>
        </w:rPr>
        <w:t xml:space="preserve">LIST PRICE: </w:t>
      </w:r>
      <w:r>
        <w:rPr>
          <w:rFonts w:ascii="Arial" w:cs="Arial" w:eastAsia="Arial" w:hAnsi="Arial"/>
          <w:b/>
          <w:bCs/>
          <w:color w:val="C8972B"/>
          <w:sz w:val="22"/>
          <w:szCs w:val="22"/>
        </w:rPr>
        <w:t xml:space="preserve">$1,200,000  |  6 Units  |  $200,000/Unit</w:t>
      </w:r>
    </w:p>
    <w:p>
      <w:pPr>
        <w:spacing w:after="80" w:before="200"/>
      </w:pPr>
      <w:r>
        <w:rPr>
          <w:rFonts w:ascii="Arial" w:cs="Arial" w:eastAsia="Arial" w:hAnsi="Arial"/>
          <w:b/>
          <w:bCs/>
          <w:color w:val="C8972B"/>
          <w:sz w:val="22"/>
          <w:szCs w:val="22"/>
        </w:rPr>
        <w:t xml:space="preserve">Marketing Angle: "Six Units of Historic Character — Three Units of Vacancy Story"</w:t>
      </w:r>
    </w:p>
    <w:p>
      <w:pPr>
        <w:spacing w:after="80" w:before="80"/>
      </w:pPr>
      <w:r>
        <w:rPr>
          <w:rFonts w:ascii="Arial" w:cs="Arial" w:eastAsia="Arial" w:hAnsi="Arial"/>
          <w:color w:val="333333"/>
          <w:sz w:val="22"/>
          <w:szCs w:val="22"/>
        </w:rPr>
        <w:t xml:space="preserve">255 6th Avenue N. is a rare piece of Downtown St. Petersburg's earliest multifamily inventory — a two-story, six-unit 1925 building maintained in average condition with no observed deferred maintenance, a 2021 roof replacement, and a location that commands premium rents from the market's most desirable tenant demographic.</w:t>
      </w:r>
    </w:p>
    <w:p>
      <w:pPr>
        <w:spacing w:after="80" w:before="80"/>
      </w:pPr>
    </w:p>
    <w:p>
      <w:pPr>
        <w:spacing w:after="80" w:before="80"/>
      </w:pPr>
      <w:r>
        <w:rPr>
          <w:rFonts w:ascii="Arial" w:cs="Arial" w:eastAsia="Arial" w:hAnsi="Arial"/>
          <w:color w:val="333333"/>
          <w:sz w:val="22"/>
          <w:szCs w:val="22"/>
        </w:rPr>
        <w:t xml:space="preserve">The asset's current rent roll shows two vacancies and several below-market leases — the exact setup value-add investors underwrite for. The CMA's stabilized pro-forma projects $97,200 in gross potential rent at full occupancy with market leases ($1,400/mo per 1BR; $1,100/mo for the efficiency), producing an estimated NOI of $52,000–$58,000 after a 3% vacancy assumption and operating expenses of 38–42%. At the recommended list price of $1,200,000, the buyer enters at an implied going-in cap of approximately 4.3%–4.8% — a compressed but defensible figure for prime downtown St. Pete with a credible rent-up story. The path to value creation requires no renovation timeline, no entitlement risk: just lease-up execution and disciplined management.</w:t>
      </w:r>
    </w:p>
    <w:p>
      <w:pPr>
        <w:spacing w:after="80" w:before="80"/>
      </w:pPr>
    </w:p>
    <w:p>
      <w:pPr>
        <w:spacing w:after="80" w:before="200"/>
      </w:pPr>
      <w:r>
        <w:rPr>
          <w:rFonts w:ascii="Arial" w:cs="Arial" w:eastAsia="Arial" w:hAnsi="Arial"/>
          <w:b/>
          <w:bCs/>
          <w:color w:val="C8972B"/>
          <w:sz w:val="22"/>
          <w:szCs w:val="22"/>
        </w:rPr>
        <w:t xml:space="preserve">Property B — Individual Marketing Bullets</w:t>
      </w:r>
    </w:p>
    <w:p>
      <w:pPr>
        <w:pStyle w:val="ListParagraph"/>
        <w:numPr>
          <w:ilvl w:val="0"/>
          <w:numId w:val="2"/>
        </w:numPr>
        <w:spacing w:after="60" w:before="60"/>
      </w:pPr>
      <w:r>
        <w:rPr>
          <w:rFonts w:ascii="Arial" w:cs="Arial" w:eastAsia="Arial" w:hAnsi="Arial"/>
          <w:color w:val="333333"/>
          <w:sz w:val="22"/>
          <w:szCs w:val="22"/>
        </w:rPr>
        <w:t xml:space="preserve">6-unit historic wood frame building — 1925 construction, 2-story, maintained average condition</w:t>
      </w:r>
    </w:p>
    <w:p>
      <w:pPr>
        <w:pStyle w:val="ListParagraph"/>
        <w:numPr>
          <w:ilvl w:val="0"/>
          <w:numId w:val="2"/>
        </w:numPr>
        <w:spacing w:after="60" w:before="60"/>
      </w:pPr>
      <w:r>
        <w:rPr>
          <w:rFonts w:ascii="Arial" w:cs="Arial" w:eastAsia="Arial" w:hAnsi="Arial"/>
          <w:color w:val="333333"/>
          <w:sz w:val="22"/>
          <w:szCs w:val="22"/>
        </w:rPr>
        <w:t xml:space="preserve">Unit mix: 5 x 1BR/1BA + 1 x efficiency — strong rentability profile for young professionals and downtown workers</w:t>
      </w:r>
    </w:p>
    <w:p>
      <w:pPr>
        <w:pStyle w:val="ListParagraph"/>
        <w:numPr>
          <w:ilvl w:val="0"/>
          <w:numId w:val="2"/>
        </w:numPr>
        <w:spacing w:after="60" w:before="60"/>
      </w:pPr>
      <w:r>
        <w:rPr>
          <w:rFonts w:ascii="Arial" w:cs="Arial" w:eastAsia="Arial" w:hAnsi="Arial"/>
          <w:color w:val="333333"/>
          <w:sz w:val="22"/>
          <w:szCs w:val="22"/>
        </w:rPr>
        <w:t xml:space="preserve">2021 roof replacement — material near-term capex item already addressed</w:t>
      </w:r>
    </w:p>
    <w:p>
      <w:pPr>
        <w:pStyle w:val="ListParagraph"/>
        <w:numPr>
          <w:ilvl w:val="0"/>
          <w:numId w:val="2"/>
        </w:numPr>
        <w:spacing w:after="60" w:before="60"/>
      </w:pPr>
      <w:r>
        <w:rPr>
          <w:rFonts w:ascii="Arial" w:cs="Arial" w:eastAsia="Arial" w:hAnsi="Arial"/>
          <w:color w:val="333333"/>
          <w:sz w:val="22"/>
          <w:szCs w:val="22"/>
        </w:rPr>
        <w:t xml:space="preserve">Flood Zone X — no mandatory flood insurance requirement</w:t>
      </w:r>
    </w:p>
    <w:p>
      <w:pPr>
        <w:pStyle w:val="ListParagraph"/>
        <w:numPr>
          <w:ilvl w:val="0"/>
          <w:numId w:val="2"/>
        </w:numPr>
        <w:spacing w:after="60" w:before="60"/>
      </w:pPr>
      <w:r>
        <w:rPr>
          <w:rFonts w:ascii="Arial" w:cs="Arial" w:eastAsia="Arial" w:hAnsi="Arial"/>
          <w:color w:val="333333"/>
          <w:sz w:val="22"/>
          <w:szCs w:val="22"/>
        </w:rPr>
        <w:t xml:space="preserve">Current stabilized gross rent potential: $97,200/yr at market rates ($1,400/1BR; $1,100/efficiency) — ~95% upside vs. current in-place income</w:t>
      </w:r>
    </w:p>
    <w:p>
      <w:pPr>
        <w:pStyle w:val="ListParagraph"/>
        <w:numPr>
          <w:ilvl w:val="0"/>
          <w:numId w:val="2"/>
        </w:numPr>
        <w:spacing w:after="60" w:before="60"/>
      </w:pPr>
      <w:r>
        <w:rPr>
          <w:rFonts w:ascii="Arial" w:cs="Arial" w:eastAsia="Arial" w:hAnsi="Arial"/>
          <w:color w:val="333333"/>
          <w:sz w:val="22"/>
          <w:szCs w:val="22"/>
        </w:rPr>
        <w:t xml:space="preserve">255 6th Ave N appraisal floor: $1,050,000–$1,100,000 | CMA listing range: $1,095,000–$1,250,000 | List: $1,200,000</w:t>
      </w:r>
    </w:p>
    <w:p>
      <w:pPr>
        <w:pStyle w:val="ListParagraph"/>
        <w:numPr>
          <w:ilvl w:val="0"/>
          <w:numId w:val="2"/>
        </w:numPr>
        <w:spacing w:after="60" w:before="60"/>
      </w:pPr>
      <w:r>
        <w:rPr>
          <w:rFonts w:ascii="Arial" w:cs="Arial" w:eastAsia="Arial" w:hAnsi="Arial"/>
          <w:color w:val="333333"/>
          <w:sz w:val="22"/>
          <w:szCs w:val="22"/>
        </w:rPr>
        <w:t xml:space="preserve">NT-2 zoning with grandfathered multifamily use — existing legal nonconforming status protects the income-producing use</w:t>
      </w:r>
    </w:p>
    <w:p>
      <w:pPr>
        <w:pStyle w:val="ListParagraph"/>
        <w:numPr>
          <w:ilvl w:val="0"/>
          <w:numId w:val="2"/>
        </w:numPr>
        <w:spacing w:after="60" w:before="60"/>
      </w:pPr>
      <w:r>
        <w:rPr>
          <w:rFonts w:ascii="Arial" w:cs="Arial" w:eastAsia="Arial" w:hAnsi="Arial"/>
          <w:color w:val="333333"/>
          <w:sz w:val="22"/>
          <w:szCs w:val="22"/>
        </w:rPr>
        <w:t xml:space="preserve">Business tax receipt exists for 9 apartment units — potential upside licensing/unit count story for sophisticated buyer</w:t>
      </w:r>
    </w:p>
    <w:p>
      <w:pPr>
        <w:spacing w:after="80" w:before="80"/>
      </w:pPr>
    </w:p>
    <w:p>
      <w:pPr>
        <w:spacing w:after="80" w:before="200"/>
      </w:pPr>
      <w:r>
        <w:rPr>
          <w:rFonts w:ascii="Arial" w:cs="Arial" w:eastAsia="Arial" w:hAnsi="Arial"/>
          <w:b/>
          <w:bCs/>
          <w:color w:val="C8972B"/>
          <w:sz w:val="22"/>
          <w:szCs w:val="22"/>
        </w:rPr>
        <w:t xml:space="preserve">Property B — CMA Pricing Summary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Pricing Metric</w:t>
            </w:r>
          </w:p>
        </w:tc>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Detail</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CMA Listing Range</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$1,095,000 – $1,250,000</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Recommended Initial List Price</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$1,200,000</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Price Per Unit at List</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$200,000/unit</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Supportable Price-Per-Unit Range</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$190,000 – $210,000/unit</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Appraisal Value Floor (Nov. 2025)</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$1,050,000 – $1,100,000</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Appraisal Concluded Value</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$1,080,000 (sales comparison)</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Stabilized NOI Estimate</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$52,000 – $58,000/yr</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Cap Rate at List (5.0% NOI mid)</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~4.6% going-in</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Stabilized Value at 4.5% Cap</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$1,155,000 – $1,290,000</w:t>
            </w:r>
          </w:p>
        </w:tc>
      </w:tr>
    </w:tbl>
    <w:p>
      <w:pPr>
        <w:spacing w:after="80" w:before="80"/>
      </w:pPr>
    </w:p>
    <w:p>
      <w:pPr>
        <w:spacing w:after="80" w:before="200"/>
      </w:pPr>
      <w:r>
        <w:rPr>
          <w:rFonts w:ascii="Arial" w:cs="Arial" w:eastAsia="Arial" w:hAnsi="Arial"/>
          <w:b/>
          <w:bCs/>
          <w:color w:val="C8972B"/>
          <w:sz w:val="22"/>
          <w:szCs w:val="22"/>
        </w:rPr>
        <w:t xml:space="preserve">Comparable Sales Supporting Property B Pricing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1400"/>
        <w:gridCol w:w="1600"/>
        <w:gridCol w:w="1400"/>
        <w:gridCol w:w="2160"/>
      </w:tblGrid>
      <w:tr>
        <w:tc>
          <w:tcPr>
            <w:tcW w:type="dxa" w:w="2800"/>
            <w:tcBorders>
              <w:top w:val="single" w:color="CCCCCC" w:sz="1"/>
              <w:left w:val="single" w:color="CCCCCC" w:sz="1"/>
              <w:bottom w:val="single" w:color="CCCCCC" w:sz="1"/>
              <w:right w:val="single" w:color="CCCCCC" w:sz="1"/>
            </w:tcBorders>
            <w:shd w:fill="1B3A5C" w:val="clear"/>
            <w:tcMar>
              <w:top w:type="dxa" w:w="100"/>
              <w:left w:type="dxa" w:w="120"/>
              <w:bottom w:type="dxa" w:w="100"/>
              <w:right w:type="dxa" w:w="120"/>
            </w:tcMar>
          </w:tcPr>
          <w:p>
            <w:r>
              <w:rPr>
                <w:rFonts w:ascii="Arial" w:cs="Arial" w:eastAsia="Arial" w:hAnsi="Arial"/>
                <w:b/>
                <w:bCs/>
                <w:color w:val="FFFFFF"/>
                <w:sz w:val="19"/>
                <w:szCs w:val="19"/>
              </w:rPr>
              <w:t xml:space="preserve">Address</w:t>
            </w:r>
          </w:p>
        </w:tc>
        <w:tc>
          <w:tcPr>
            <w:tcW w:type="dxa" w:w="1400"/>
            <w:tcBorders>
              <w:top w:val="single" w:color="CCCCCC" w:sz="1"/>
              <w:left w:val="single" w:color="CCCCCC" w:sz="1"/>
              <w:bottom w:val="single" w:color="CCCCCC" w:sz="1"/>
              <w:right w:val="single" w:color="CCCCCC" w:sz="1"/>
            </w:tcBorders>
            <w:shd w:fill="1B3A5C" w:val="clear"/>
            <w:tcMar>
              <w:top w:type="dxa" w:w="100"/>
              <w:left w:type="dxa" w:w="120"/>
              <w:bottom w:type="dxa" w:w="100"/>
              <w:right w:type="dxa" w:w="120"/>
            </w:tcMar>
          </w:tcPr>
          <w:p>
            <w:r>
              <w:rPr>
                <w:rFonts w:ascii="Arial" w:cs="Arial" w:eastAsia="Arial" w:hAnsi="Arial"/>
                <w:b/>
                <w:bCs/>
                <w:color w:val="FFFFFF"/>
                <w:sz w:val="19"/>
                <w:szCs w:val="19"/>
              </w:rPr>
              <w:t xml:space="preserve">Sale Date</w:t>
            </w:r>
          </w:p>
        </w:tc>
        <w:tc>
          <w:tcPr>
            <w:tcW w:type="dxa" w:w="1600"/>
            <w:tcBorders>
              <w:top w:val="single" w:color="CCCCCC" w:sz="1"/>
              <w:left w:val="single" w:color="CCCCCC" w:sz="1"/>
              <w:bottom w:val="single" w:color="CCCCCC" w:sz="1"/>
              <w:right w:val="single" w:color="CCCCCC" w:sz="1"/>
            </w:tcBorders>
            <w:shd w:fill="1B3A5C" w:val="clear"/>
            <w:tcMar>
              <w:top w:type="dxa" w:w="100"/>
              <w:left w:type="dxa" w:w="120"/>
              <w:bottom w:type="dxa" w:w="100"/>
              <w:right w:type="dxa" w:w="120"/>
            </w:tcMar>
          </w:tcPr>
          <w:p>
            <w:r>
              <w:rPr>
                <w:rFonts w:ascii="Arial" w:cs="Arial" w:eastAsia="Arial" w:hAnsi="Arial"/>
                <w:b/>
                <w:bCs/>
                <w:color w:val="FFFFFF"/>
                <w:sz w:val="19"/>
                <w:szCs w:val="19"/>
              </w:rPr>
              <w:t xml:space="preserve">Price</w:t>
            </w:r>
          </w:p>
        </w:tc>
        <w:tc>
          <w:tcPr>
            <w:tcW w:type="dxa" w:w="1400"/>
            <w:tcBorders>
              <w:top w:val="single" w:color="CCCCCC" w:sz="1"/>
              <w:left w:val="single" w:color="CCCCCC" w:sz="1"/>
              <w:bottom w:val="single" w:color="CCCCCC" w:sz="1"/>
              <w:right w:val="single" w:color="CCCCCC" w:sz="1"/>
            </w:tcBorders>
            <w:shd w:fill="1B3A5C" w:val="clear"/>
            <w:tcMar>
              <w:top w:type="dxa" w:w="100"/>
              <w:left w:type="dxa" w:w="120"/>
              <w:bottom w:type="dxa" w:w="100"/>
              <w:right w:type="dxa" w:w="120"/>
            </w:tcMar>
          </w:tcPr>
          <w:p>
            <w:r>
              <w:rPr>
                <w:rFonts w:ascii="Arial" w:cs="Arial" w:eastAsia="Arial" w:hAnsi="Arial"/>
                <w:b/>
                <w:bCs/>
                <w:color w:val="FFFFFF"/>
                <w:sz w:val="19"/>
                <w:szCs w:val="19"/>
              </w:rPr>
              <w:t xml:space="preserve">Units</w:t>
            </w:r>
          </w:p>
        </w:tc>
        <w:tc>
          <w:tcPr>
            <w:tcW w:type="dxa" w:w="2160"/>
            <w:tcBorders>
              <w:top w:val="single" w:color="CCCCCC" w:sz="1"/>
              <w:left w:val="single" w:color="CCCCCC" w:sz="1"/>
              <w:bottom w:val="single" w:color="CCCCCC" w:sz="1"/>
              <w:right w:val="single" w:color="CCCCCC" w:sz="1"/>
            </w:tcBorders>
            <w:shd w:fill="1B3A5C" w:val="clear"/>
            <w:tcMar>
              <w:top w:type="dxa" w:w="100"/>
              <w:left w:type="dxa" w:w="120"/>
              <w:bottom w:type="dxa" w:w="100"/>
              <w:right w:type="dxa" w:w="120"/>
            </w:tcMar>
          </w:tcPr>
          <w:p>
            <w:r>
              <w:rPr>
                <w:rFonts w:ascii="Arial" w:cs="Arial" w:eastAsia="Arial" w:hAnsi="Arial"/>
                <w:b/>
                <w:bCs/>
                <w:color w:val="FFFFFF"/>
                <w:sz w:val="19"/>
                <w:szCs w:val="19"/>
              </w:rPr>
              <w:t xml:space="preserve">$/Unit &amp; Notes</w:t>
            </w:r>
          </w:p>
        </w:tc>
      </w:tr>
      <w:tr>
        <w:tc>
          <w:tcPr>
            <w:tcW w:type="dxa" w:w="28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color w:val="333333"/>
                <w:sz w:val="19"/>
                <w:szCs w:val="19"/>
              </w:rPr>
              <w:t xml:space="preserve">135 6th Ave N.</w:t>
            </w:r>
          </w:p>
        </w:tc>
        <w:tc>
          <w:tcPr>
            <w:tcW w:type="dxa" w:w="14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color w:val="333333"/>
                <w:sz w:val="19"/>
                <w:szCs w:val="19"/>
              </w:rPr>
              <w:t xml:space="preserve">Jan 2026</w:t>
            </w:r>
          </w:p>
        </w:tc>
        <w:tc>
          <w:tcPr>
            <w:tcW w:type="dxa" w:w="16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color w:val="333333"/>
                <w:sz w:val="19"/>
                <w:szCs w:val="19"/>
              </w:rPr>
              <w:t xml:space="preserve">$900,000</w:t>
            </w:r>
          </w:p>
        </w:tc>
        <w:tc>
          <w:tcPr>
            <w:tcW w:type="dxa" w:w="14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color w:val="333333"/>
                <w:sz w:val="19"/>
                <w:szCs w:val="19"/>
              </w:rPr>
              <w:t xml:space="preserve">5</w:t>
            </w:r>
          </w:p>
        </w:tc>
        <w:tc>
          <w:tcPr>
            <w:tcW w:type="dxa" w:w="216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color w:val="333333"/>
                <w:sz w:val="19"/>
                <w:szCs w:val="19"/>
              </w:rPr>
              <w:t xml:space="preserve">$180,000 — Same corridor; inferior condition</w:t>
            </w:r>
          </w:p>
        </w:tc>
      </w:tr>
      <w:tr>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19"/>
                <w:szCs w:val="19"/>
              </w:rPr>
              <w:t xml:space="preserve">245 13th Ave. NE</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19"/>
                <w:szCs w:val="19"/>
              </w:rPr>
              <w:t xml:space="preserve">Dec 2025</w:t>
            </w:r>
          </w:p>
        </w:tc>
        <w:tc>
          <w:tcPr>
            <w:tcW w:type="dxa" w:w="1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19"/>
                <w:szCs w:val="19"/>
              </w:rPr>
              <w:t xml:space="preserve">$1,000,000</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19"/>
                <w:szCs w:val="19"/>
              </w:rPr>
              <w:t xml:space="preserve">5</w:t>
            </w:r>
          </w:p>
        </w:tc>
        <w:tc>
          <w:tcPr>
            <w:tcW w:type="dxa" w:w="21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19"/>
                <w:szCs w:val="19"/>
              </w:rPr>
              <w:t xml:space="preserve">$200,000 — Average condition; mixed units</w:t>
            </w:r>
          </w:p>
        </w:tc>
      </w:tr>
      <w:tr>
        <w:tc>
          <w:tcPr>
            <w:tcW w:type="dxa" w:w="28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color w:val="333333"/>
                <w:sz w:val="19"/>
                <w:szCs w:val="19"/>
              </w:rPr>
              <w:t xml:space="preserve">121 7th Ave N.</w:t>
            </w:r>
          </w:p>
        </w:tc>
        <w:tc>
          <w:tcPr>
            <w:tcW w:type="dxa" w:w="14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color w:val="333333"/>
                <w:sz w:val="19"/>
                <w:szCs w:val="19"/>
              </w:rPr>
              <w:t xml:space="preserve">Jul 2025</w:t>
            </w:r>
          </w:p>
        </w:tc>
        <w:tc>
          <w:tcPr>
            <w:tcW w:type="dxa" w:w="16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color w:val="333333"/>
                <w:sz w:val="19"/>
                <w:szCs w:val="19"/>
              </w:rPr>
              <w:t xml:space="preserve">$1,080,000</w:t>
            </w:r>
          </w:p>
        </w:tc>
        <w:tc>
          <w:tcPr>
            <w:tcW w:type="dxa" w:w="140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color w:val="333333"/>
                <w:sz w:val="19"/>
                <w:szCs w:val="19"/>
              </w:rPr>
              <w:t xml:space="preserve">5</w:t>
            </w:r>
          </w:p>
        </w:tc>
        <w:tc>
          <w:tcPr>
            <w:tcW w:type="dxa" w:w="2160"/>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rFonts w:ascii="Arial" w:cs="Arial" w:eastAsia="Arial" w:hAnsi="Arial"/>
                <w:color w:val="333333"/>
                <w:sz w:val="19"/>
                <w:szCs w:val="19"/>
              </w:rPr>
              <w:t xml:space="preserve">$216,000 — Strong location; included garage</w:t>
            </w:r>
          </w:p>
        </w:tc>
      </w:tr>
      <w:tr>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19"/>
                <w:szCs w:val="19"/>
              </w:rPr>
              <w:t xml:space="preserve">548 3rd St N.</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19"/>
                <w:szCs w:val="19"/>
              </w:rPr>
              <w:t xml:space="preserve">Jun 2025</w:t>
            </w:r>
          </w:p>
        </w:tc>
        <w:tc>
          <w:tcPr>
            <w:tcW w:type="dxa" w:w="1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19"/>
                <w:szCs w:val="19"/>
              </w:rPr>
              <w:t xml:space="preserve">$1,000,000</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19"/>
                <w:szCs w:val="19"/>
              </w:rPr>
              <w:t xml:space="preserve">6</w:t>
            </w:r>
          </w:p>
        </w:tc>
        <w:tc>
          <w:tcPr>
            <w:tcW w:type="dxa" w:w="21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19"/>
                <w:szCs w:val="19"/>
              </w:rPr>
              <w:t xml:space="preserve">$166,667 — Inferior condition; longer DOM</w:t>
            </w:r>
          </w:p>
        </w:tc>
      </w:tr>
    </w:tbl>
    <w:p>
      <w:pPr>
        <w:spacing w:after="80" w:before="80"/>
      </w:pPr>
    </w:p>
    <w:p>
      <w:pPr>
        <w:spacing w:after="80" w:before="200"/>
      </w:pPr>
      <w:r>
        <w:rPr>
          <w:rFonts w:ascii="Arial" w:cs="Arial" w:eastAsia="Arial" w:hAnsi="Arial"/>
          <w:b/>
          <w:bCs/>
          <w:color w:val="C8972B"/>
          <w:sz w:val="22"/>
          <w:szCs w:val="22"/>
        </w:rPr>
        <w:t xml:space="preserve">Investor Underwriting — Key Strengths &amp; Buyer Concerns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Strengths Supporting Premium Pricing</w:t>
            </w:r>
          </w:p>
        </w:tc>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Considerations Buyers Will Underwrite</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Prime Downtown St. Pete walkability</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Wood-frame construction (vs. concrete block)</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~95% income upside to stabilized rents</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No on-site parking — street parking only</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Flood Zone X — no mandatory flood insurance</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Older building age (1925) — reserve planning required</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Roof replaced 2021 — near-term capex addressed</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Insurance expense sensitivity (wood frame)</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Individually metered electric — tenant pays utility</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Small lot (0.08 ac) limits future expansion</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Strong unit density — 75 units/acre income efficiency</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Potential future maintenance reserves</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Grandfathered 6-unit use in NT-2 zoning</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Business tax receipt shows 9 units — needs clarification</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Historic character — strong tenant appeal</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2 vacancies at appraisal date — rent-up execution required</w:t>
            </w:r>
          </w:p>
        </w:tc>
      </w:tr>
    </w:tbl>
    <w:p>
      <w:pPr>
        <w:spacing w:after="80" w:before="80"/>
      </w:pPr>
    </w:p>
    <w:p>
      <w:pPr>
        <w:spacing w:after="80" w:before="200"/>
      </w:pPr>
      <w:r>
        <w:rPr>
          <w:rFonts w:ascii="Arial" w:cs="Arial" w:eastAsia="Arial" w:hAnsi="Arial"/>
          <w:b/>
          <w:bCs/>
          <w:color w:val="C8972B"/>
          <w:sz w:val="22"/>
          <w:szCs w:val="22"/>
        </w:rPr>
        <w:t xml:space="preserve">Property B — Headline Options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3A5C" w:sz="4"/>
              <w:left w:val="single" w:color="C8972B" w:sz="16"/>
              <w:bottom w:val="single" w:color="1B3A5C" w:sz="4"/>
              <w:right w:val="single" w:color="1B3A5C" w:sz="4"/>
            </w:tcBorders>
            <w:shd w:fill="D5E8F0" w:val="clear"/>
            <w:tcMar>
              <w:top w:type="dxa" w:w="160"/>
              <w:left w:type="dxa" w:w="200"/>
              <w:bottom w:type="dxa" w:w="160"/>
              <w:right w:type="dxa" w:w="200"/>
            </w:tcMar>
          </w:tcPr>
          <w:p>
            <w:pPr>
              <w:spacing w:after="60" w:before="60"/>
            </w:pPr>
            <w:r>
              <w:rPr>
                <w:rFonts w:ascii="Arial" w:cs="Arial" w:eastAsia="Arial" w:hAnsi="Arial"/>
                <w:i/>
                <w:iCs/>
                <w:color w:val="333333"/>
                <w:sz w:val="22"/>
                <w:szCs w:val="22"/>
              </w:rPr>
              <w:t xml:space="preserve">"6 Units of 1925 Downtown St. Pete — Two Vacancies, One Opportunity" </w:t>
            </w:r>
          </w:p>
          <w:p>
            <w:pPr>
              <w:spacing w:after="60" w:before="60"/>
            </w:pPr>
            <w:r>
              <w:rPr>
                <w:rFonts w:ascii="Arial" w:cs="Arial" w:eastAsia="Arial" w:hAnsi="Arial"/>
                <w:i/>
                <w:iCs/>
                <w:color w:val="333333"/>
                <w:sz w:val="22"/>
                <w:szCs w:val="22"/>
              </w:rPr>
              <w:t xml:space="preserve">"$97K Gross Rent Potential. Historic Old Northeast. 2021 Roof. Your Next Value-Add Play." </w:t>
            </w:r>
          </w:p>
          <w:p>
            <w:pPr>
              <w:spacing w:after="60" w:before="60"/>
            </w:pPr>
            <w:r>
              <w:rPr>
                <w:rFonts w:ascii="Arial" w:cs="Arial" w:eastAsia="Arial" w:hAnsi="Arial"/>
                <w:i/>
                <w:iCs/>
                <w:color w:val="333333"/>
                <w:sz w:val="22"/>
                <w:szCs w:val="22"/>
              </w:rPr>
              <w:t xml:space="preserve">"Rare 6-Unit 1925 Building — Downtown St. Pete — Below-Market Rents — Strong Appraisal Anchor — Priced to Transact"</w:t>
            </w:r>
          </w:p>
        </w:tc>
      </w:tr>
    </w:tbl>
    <w:p>
      <w:r>
        <w:br w:type="page"/>
      </w:r>
    </w:p>
    <w:p>
      <w:pPr>
        <w:pStyle w:val="Heading1"/>
        <w:spacing w:after="160" w:before="360"/>
      </w:pPr>
      <w:r>
        <w:rPr>
          <w:rFonts w:ascii="Arial" w:cs="Arial" w:eastAsia="Arial" w:hAnsi="Arial"/>
          <w:b/>
          <w:bCs/>
          <w:color w:val="1B3A5C"/>
          <w:sz w:val="32"/>
          <w:szCs w:val="32"/>
        </w:rPr>
        <w:t xml:space="preserve">SECTION 4: TARGET BUYER PROFILES &amp; OUTREACH STRATEGY</w:t>
      </w:r>
    </w:p>
    <w:p>
      <w:pPr>
        <w:pBdr>
          <w:bottom w:val="single" w:color="C8972B" w:sz="6" w:space="1"/>
        </w:pBdr>
        <w:spacing w:after="160" w:before="160"/>
      </w:pPr>
    </w:p>
    <w:p>
      <w:pPr>
        <w:pStyle w:val="Heading2"/>
        <w:spacing w:after="120" w:before="280"/>
      </w:pPr>
      <w:r>
        <w:rPr>
          <w:rFonts w:ascii="Arial" w:cs="Arial" w:eastAsia="Arial" w:hAnsi="Arial"/>
          <w:b/>
          <w:bCs/>
          <w:color w:val="1B3A5C"/>
          <w:sz w:val="26"/>
          <w:szCs w:val="26"/>
        </w:rPr>
        <w:t xml:space="preserve">The Top 3 Ideal Buyer Personas</w:t>
      </w:r>
    </w:p>
    <w:p>
      <w:pPr>
        <w:spacing w:after="80" w:before="200"/>
      </w:pPr>
      <w:r>
        <w:rPr>
          <w:rFonts w:ascii="Arial" w:cs="Arial" w:eastAsia="Arial" w:hAnsi="Arial"/>
          <w:b/>
          <w:bCs/>
          <w:color w:val="C8972B"/>
          <w:sz w:val="22"/>
          <w:szCs w:val="22"/>
        </w:rPr>
        <w:t xml:space="preserve">PERSONA 1: The Value-Add Syndicator / Small Fund Manager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Attribute</w:t>
            </w:r>
          </w:p>
        </w:tc>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Profile</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Who They Are</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Local or regional syndicators raising $500K–$3M equity per deal; GPs at small multifamily funds; family offices seeking income-producing assets</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What They Want</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Clear value-add story with third-party appraisal support; immediate rent upside; portfolio scale; low-competition deals not on LoopNet for weeks</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Why This Works</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The combined portfolio pitch is tailor-made: 10 units, adjacent parcels, appraisal-backed baseline, strong rent upside math. Syndicators can underwrite and present the deal to LPs in 24 hours.</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Where to Find Them</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Crexi, CoStar, local commercial broker networks, BiggerPockets Pro communities, LinkedIn (search: 'multifamily syndicator Tampa Bay')</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Key Messaging Hook</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"This is the kind of deal that gets funded in a week — appraisals in hand, rents 30% below market, adjacent parcels, 10 units."</w:t>
            </w:r>
          </w:p>
        </w:tc>
      </w:tr>
    </w:tbl>
    <w:p>
      <w:pPr>
        <w:spacing w:after="80" w:before="80"/>
      </w:pPr>
    </w:p>
    <w:p>
      <w:pPr>
        <w:spacing w:after="80" w:before="200"/>
      </w:pPr>
      <w:r>
        <w:rPr>
          <w:rFonts w:ascii="Arial" w:cs="Arial" w:eastAsia="Arial" w:hAnsi="Arial"/>
          <w:b/>
          <w:bCs/>
          <w:color w:val="C8972B"/>
          <w:sz w:val="22"/>
          <w:szCs w:val="22"/>
        </w:rPr>
        <w:t xml:space="preserve">PERSONA 2: The 1031 Exchange Investor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Attribute</w:t>
            </w:r>
          </w:p>
        </w:tc>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Profile</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Who They Are</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Individual investors who have recently sold (or are under contract on) another investment property and must identify a replacement asset within 45 days and close within 180 days</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What They Want</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Speed; certainty of close; a legitimate investment story they can present to a QI; cash-flow-positive (or near-CF-positive) day one with upside potential</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Why This Works</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With an appraisal already in hand, a rent roll in place, and a clear income story, these properties reduce the due diligence timeline for a 1031 buyer. The portfolio or individual property works depending on exchange size.</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Where to Find Them</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Through Qualified Intermediaries, estate attorneys, and CPA networks in Pinellas/Hillsborough counties. Also: any buyer who sold a SFR or small multifamily in Tampa Bay in the last 6 months.</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Key Messaging Hook</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"Appraisal in hand. Rent roll ready. Clean title. This is the deal you close your 1031 with — not the one you miss while underwriting."</w:t>
            </w:r>
          </w:p>
        </w:tc>
      </w:tr>
    </w:tbl>
    <w:p>
      <w:pPr>
        <w:spacing w:after="80" w:before="80"/>
      </w:pPr>
    </w:p>
    <w:p>
      <w:pPr>
        <w:spacing w:after="80" w:before="200"/>
      </w:pPr>
      <w:r>
        <w:rPr>
          <w:rFonts w:ascii="Arial" w:cs="Arial" w:eastAsia="Arial" w:hAnsi="Arial"/>
          <w:b/>
          <w:bCs/>
          <w:color w:val="C8972B"/>
          <w:sz w:val="22"/>
          <w:szCs w:val="22"/>
        </w:rPr>
        <w:t xml:space="preserve">PERSONA 3: The Local Owner-Occupant / House-Hacker Investor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Attribute</w:t>
            </w:r>
          </w:p>
        </w:tc>
        <w:tc>
          <w:tcPr>
            <w:tcW w:type="dxa" w:w="4680"/>
            <w:tcBorders>
              <w:top w:val="single" w:color="CCCCCC" w:sz="1"/>
              <w:left w:val="single" w:color="CCCCCC" w:sz="1"/>
              <w:bottom w:val="single" w:color="CCCCCC" w:sz="1"/>
              <w:right w:val="single" w:color="CCCCCC" w:sz="1"/>
            </w:tcBorders>
            <w:shd w:fill="1B3A5C" w:val="clear"/>
            <w:tcMar>
              <w:top w:type="dxa" w:w="100"/>
              <w:left w:type="dxa" w:w="160"/>
              <w:bottom w:type="dxa" w:w="100"/>
              <w:right w:type="dxa" w:w="160"/>
            </w:tcMar>
          </w:tcPr>
          <w:p>
            <w:r>
              <w:rPr>
                <w:rFonts w:ascii="Arial" w:cs="Arial" w:eastAsia="Arial" w:hAnsi="Arial"/>
                <w:b/>
                <w:bCs/>
                <w:color w:val="FFFFFF"/>
                <w:sz w:val="20"/>
                <w:szCs w:val="20"/>
              </w:rPr>
              <w:t xml:space="preserve">Profile</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Who They Are</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Local professionals, first-time multifamily buyers, or small landlords looking to owner-occupy one unit while the remaining units cover the mortgage. Particularly relevant for Property A (247), which has a 2BR/2BA ideal for owner-occupant use.</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What They Want</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Favorable financing (fourplexes qualify for conventional/FHA owner-occupant lending at low down payments); livable unit; high-quality neighborhood; strong rental history</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Why This Works</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247 6th Ave N is a true fourplex — the only small multifamily type eligible for residential owner-occupant financing. A buyer who lives in the 2BR/2BA and rents the three 1BRs at market rate covers the vast majority of their housing cost.</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Where to Find Them</w:t>
            </w:r>
          </w:p>
        </w:tc>
        <w:tc>
          <w:tcPr>
            <w:tcW w:type="dxa" w:w="4680"/>
            <w:tcBorders>
              <w:top w:val="single" w:color="CCCCCC" w:sz="1"/>
              <w:left w:val="single" w:color="CCCCCC" w:sz="1"/>
              <w:bottom w:val="single" w:color="CCCCCC" w:sz="1"/>
              <w:right w:val="single" w:color="CCCCCC" w:sz="1"/>
            </w:tcBorders>
            <w:shd w:fill="FFFFFF" w:val="clear"/>
            <w:tcMar>
              <w:top w:type="dxa" w:w="80"/>
              <w:left w:type="dxa" w:w="160"/>
              <w:bottom w:type="dxa" w:w="80"/>
              <w:right w:type="dxa" w:w="160"/>
            </w:tcMar>
          </w:tcPr>
          <w:p>
            <w:r>
              <w:rPr>
                <w:rFonts w:ascii="Arial" w:cs="Arial" w:eastAsia="Arial" w:hAnsi="Arial"/>
                <w:color w:val="333333"/>
                <w:sz w:val="20"/>
                <w:szCs w:val="20"/>
              </w:rPr>
              <w:t xml:space="preserve">MLS (residential listing flagged as investment/owner-occupant opportunity); Zillow/Redfin listing with 'house-hack' and 'owner-occupant' language; direct outreach to first-time multifamily buyers in Pinellas County</w:t>
            </w:r>
          </w:p>
        </w:tc>
      </w:tr>
      <w:tr>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Key Messaging Hook</w:t>
            </w:r>
          </w:p>
        </w:tc>
        <w:tc>
          <w:tcPr>
            <w:tcW w:type="dxa" w:w="4680"/>
            <w:tcBorders>
              <w:top w:val="single" w:color="CCCCCC" w:sz="1"/>
              <w:left w:val="single" w:color="CCCCCC" w:sz="1"/>
              <w:bottom w:val="single" w:color="CCCCCC" w:sz="1"/>
              <w:right w:val="single" w:color="CCCCCC" w:sz="1"/>
            </w:tcBorders>
            <w:shd w:fill="FDF3DC" w:val="clear"/>
            <w:tcMar>
              <w:top w:type="dxa" w:w="80"/>
              <w:left w:type="dxa" w:w="160"/>
              <w:bottom w:type="dxa" w:w="80"/>
              <w:right w:type="dxa" w:w="160"/>
            </w:tcMar>
          </w:tcPr>
          <w:p>
            <w:r>
              <w:rPr>
                <w:rFonts w:ascii="Arial" w:cs="Arial" w:eastAsia="Arial" w:hAnsi="Arial"/>
                <w:color w:val="333333"/>
                <w:sz w:val="20"/>
                <w:szCs w:val="20"/>
              </w:rPr>
              <w:t xml:space="preserve">"Live in the 2BR. Rent out the other three. Let your tenants pay your mortgage — and build equity in one of St. Pete's most walkable neighborhoods."</w:t>
            </w:r>
          </w:p>
        </w:tc>
      </w:tr>
    </w:tbl>
    <w:p>
      <w:r>
        <w:br w:type="page"/>
      </w:r>
    </w:p>
    <w:p>
      <w:pPr>
        <w:pStyle w:val="Heading2"/>
        <w:spacing w:after="120" w:before="280"/>
      </w:pPr>
      <w:r>
        <w:rPr>
          <w:rFonts w:ascii="Arial" w:cs="Arial" w:eastAsia="Arial" w:hAnsi="Arial"/>
          <w:b/>
          <w:bCs/>
          <w:color w:val="1B3A5C"/>
          <w:sz w:val="26"/>
          <w:szCs w:val="26"/>
        </w:rPr>
        <w:t xml:space="preserve">High-Conversion Cold Outreach Email Templates</w:t>
      </w:r>
    </w:p>
    <w:p>
      <w:pPr>
        <w:spacing w:after="80" w:before="80"/>
      </w:pPr>
      <w:r>
        <w:rPr>
          <w:rFonts w:ascii="Arial" w:cs="Arial" w:eastAsia="Arial" w:hAnsi="Arial"/>
          <w:color w:val="333333"/>
          <w:sz w:val="22"/>
          <w:szCs w:val="22"/>
        </w:rPr>
        <w:t xml:space="preserve">Below are three purpose-built outreach templates, one per buyer persona. Each is designed for direct use in email or CRE platform messaging.</w:t>
      </w:r>
    </w:p>
    <w:p>
      <w:pPr>
        <w:spacing w:after="80" w:before="80"/>
      </w:pPr>
    </w:p>
    <w:p>
      <w:pPr>
        <w:spacing w:after="80" w:before="200"/>
      </w:pPr>
      <w:r>
        <w:rPr>
          <w:rFonts w:ascii="Arial" w:cs="Arial" w:eastAsia="Arial" w:hAnsi="Arial"/>
          <w:b/>
          <w:bCs/>
          <w:color w:val="C8972B"/>
          <w:sz w:val="22"/>
          <w:szCs w:val="22"/>
        </w:rPr>
        <w:t xml:space="preserve">EMAIL TEMPLATE 1 — Value-Add Syndicator / Fund Manager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3A5C" w:sz="4"/>
              <w:left w:val="single" w:color="C8972B" w:sz="16"/>
              <w:bottom w:val="single" w:color="1B3A5C" w:sz="4"/>
              <w:right w:val="single" w:color="1B3A5C" w:sz="4"/>
            </w:tcBorders>
            <w:shd w:fill="D5E8F0" w:val="clear"/>
            <w:tcMar>
              <w:top w:type="dxa" w:w="160"/>
              <w:left w:type="dxa" w:w="200"/>
              <w:bottom w:type="dxa" w:w="160"/>
              <w:right w:type="dxa" w:w="200"/>
            </w:tcMar>
          </w:tcPr>
          <w:p>
            <w:pPr>
              <w:spacing w:after="60" w:before="60"/>
            </w:pPr>
            <w:r>
              <w:rPr>
                <w:rFonts w:ascii="Arial" w:cs="Arial" w:eastAsia="Arial" w:hAnsi="Arial"/>
                <w:b/>
                <w:bCs/>
                <w:color w:val="1B3A5C"/>
                <w:sz w:val="22"/>
                <w:szCs w:val="22"/>
              </w:rPr>
              <w:t xml:space="preserve">SUBJECT: </w:t>
            </w:r>
            <w:r>
              <w:rPr>
                <w:rFonts w:ascii="Arial" w:cs="Arial" w:eastAsia="Arial" w:hAnsi="Arial"/>
                <w:color w:val="333333"/>
                <w:sz w:val="22"/>
                <w:szCs w:val="22"/>
              </w:rPr>
              <w:t xml:space="preserve">10-Unit Value-Add Portfolio | Downtown St. Pete | Appraisals in Hand | $2.15M</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Hi [First Name],</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I have a 10-unit value-add portfolio under exclusive representation in Downtown St. Petersburg that is not yet broadly marketed — two adjacent multifamily buildings on the same block of 6th Avenue N in Historic Old Northeast.</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b/>
                <w:bCs/>
                <w:color w:val="1B3A5C"/>
                <w:sz w:val="22"/>
                <w:szCs w:val="22"/>
              </w:rPr>
              <w:t xml:space="preserve">Quick deal facts:</w:t>
            </w:r>
          </w:p>
          <w:p>
            <w:pPr>
              <w:spacing w:after="60" w:before="60"/>
            </w:pPr>
            <w:r>
              <w:rPr>
                <w:rFonts w:ascii="Arial" w:cs="Arial" w:eastAsia="Arial" w:hAnsi="Arial"/>
                <w:color w:val="333333"/>
                <w:sz w:val="22"/>
                <w:szCs w:val="22"/>
              </w:rPr>
              <w:t xml:space="preserve">  •  10 units total (4-unit + 6-unit) | Adjacent parcels, same block</w:t>
            </w:r>
          </w:p>
          <w:p>
            <w:pPr>
              <w:spacing w:after="60" w:before="60"/>
            </w:pPr>
            <w:r>
              <w:rPr>
                <w:rFonts w:ascii="Arial" w:cs="Arial" w:eastAsia="Arial" w:hAnsi="Arial"/>
                <w:color w:val="333333"/>
                <w:sz w:val="22"/>
                <w:szCs w:val="22"/>
              </w:rPr>
              <w:t xml:space="preserve">  •  Combined list price: $2,150,000 ($215,000/unit)</w:t>
            </w:r>
          </w:p>
          <w:p>
            <w:pPr>
              <w:spacing w:after="60" w:before="60"/>
            </w:pPr>
            <w:r>
              <w:rPr>
                <w:rFonts w:ascii="Arial" w:cs="Arial" w:eastAsia="Arial" w:hAnsi="Arial"/>
                <w:color w:val="333333"/>
                <w:sz w:val="22"/>
                <w:szCs w:val="22"/>
              </w:rPr>
              <w:t xml:space="preserve">  •  In-place rents: ~$8,650/mo | Market rents: ~$14,000/mo (+$64K/yr upside)</w:t>
            </w:r>
          </w:p>
          <w:p>
            <w:pPr>
              <w:spacing w:after="60" w:before="60"/>
            </w:pPr>
            <w:r>
              <w:rPr>
                <w:rFonts w:ascii="Arial" w:cs="Arial" w:eastAsia="Arial" w:hAnsi="Arial"/>
                <w:color w:val="333333"/>
                <w:sz w:val="22"/>
                <w:szCs w:val="22"/>
              </w:rPr>
              <w:t xml:space="preserve">  •  Both appraised by Tod Marr &amp; Associates (Nov. 2025) — third-party underwriting in hand</w:t>
            </w:r>
          </w:p>
          <w:p>
            <w:pPr>
              <w:spacing w:after="60" w:before="60"/>
            </w:pPr>
            <w:r>
              <w:rPr>
                <w:rFonts w:ascii="Arial" w:cs="Arial" w:eastAsia="Arial" w:hAnsi="Arial"/>
                <w:color w:val="333333"/>
                <w:sz w:val="22"/>
                <w:szCs w:val="22"/>
              </w:rPr>
              <w:t xml:space="preserve">  •  Both Flood Zone X | No mandatory flood insurance</w:t>
            </w:r>
          </w:p>
          <w:p>
            <w:pPr>
              <w:spacing w:after="60" w:before="60"/>
            </w:pPr>
            <w:r>
              <w:rPr>
                <w:rFonts w:ascii="Arial" w:cs="Arial" w:eastAsia="Arial" w:hAnsi="Arial"/>
                <w:color w:val="333333"/>
                <w:sz w:val="22"/>
                <w:szCs w:val="22"/>
              </w:rPr>
              <w:t xml:space="preserve">  •  Stabilized NOI trajectory: combined ~$92K–$103K NOI | Value range ~$1.84M–$2.1M at 5.0%–4.5% cap</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This checks all of the boxes that tend to move fast in this market: walkable location, appraisal support, immediate rent upside story, limited comparable competition. I would rather get it in front of the right buyer early than auction it.</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Are you actively underwriting in the Downtown St. Pete / Old Northeast corridor? Happy to share the full OM and appraisals if so.</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i/>
                <w:iCs/>
                <w:color w:val="555555"/>
                <w:sz w:val="22"/>
                <w:szCs w:val="22"/>
              </w:rPr>
              <w:t xml:space="preserve">[YOUR NAME] | [BROKERAGE] | [PHONE] | [EMAIL]</w:t>
            </w:r>
          </w:p>
        </w:tc>
      </w:tr>
    </w:tbl>
    <w:p>
      <w:pPr>
        <w:spacing w:after="80" w:before="80"/>
      </w:pPr>
    </w:p>
    <w:p>
      <w:pPr>
        <w:spacing w:after="80" w:before="200"/>
      </w:pPr>
      <w:r>
        <w:rPr>
          <w:rFonts w:ascii="Arial" w:cs="Arial" w:eastAsia="Arial" w:hAnsi="Arial"/>
          <w:b/>
          <w:bCs/>
          <w:color w:val="C8972B"/>
          <w:sz w:val="22"/>
          <w:szCs w:val="22"/>
        </w:rPr>
        <w:t xml:space="preserve">EMAIL TEMPLATE 2 — 1031 Exchange Investor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3A5C" w:sz="4"/>
              <w:left w:val="single" w:color="C8972B" w:sz="16"/>
              <w:bottom w:val="single" w:color="1B3A5C" w:sz="4"/>
              <w:right w:val="single" w:color="1B3A5C" w:sz="4"/>
            </w:tcBorders>
            <w:shd w:fill="FDF3DC" w:val="clear"/>
            <w:tcMar>
              <w:top w:type="dxa" w:w="160"/>
              <w:left w:type="dxa" w:w="200"/>
              <w:bottom w:type="dxa" w:w="160"/>
              <w:right w:type="dxa" w:w="200"/>
            </w:tcMar>
          </w:tcPr>
          <w:p>
            <w:pPr>
              <w:spacing w:after="60" w:before="60"/>
            </w:pPr>
            <w:r>
              <w:rPr>
                <w:rFonts w:ascii="Arial" w:cs="Arial" w:eastAsia="Arial" w:hAnsi="Arial"/>
                <w:b/>
                <w:bCs/>
                <w:color w:val="1B3A5C"/>
                <w:sz w:val="22"/>
                <w:szCs w:val="22"/>
              </w:rPr>
              <w:t xml:space="preserve">SUBJECT: </w:t>
            </w:r>
            <w:r>
              <w:rPr>
                <w:rFonts w:ascii="Arial" w:cs="Arial" w:eastAsia="Arial" w:hAnsi="Arial"/>
                <w:color w:val="333333"/>
                <w:sz w:val="22"/>
                <w:szCs w:val="22"/>
              </w:rPr>
              <w:t xml:space="preserve">1031 Replacement Property | Downtown St. Pete Multifamily | Clean Deal | Move Fast</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Hi [First Name],</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If you have a 1031 exchange open or know an investor who does, I have a downtown St. Pete multifamily property — or a two-property portfolio — that is exactly what 1031 buyers want right now: appraisal in hand, income-producing day one, and room to grow.</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b/>
                <w:bCs/>
                <w:color w:val="1B3A5C"/>
                <w:sz w:val="22"/>
                <w:szCs w:val="22"/>
              </w:rPr>
              <w:t xml:space="preserve">Available individually or together:</w:t>
            </w:r>
          </w:p>
          <w:p>
            <w:pPr>
              <w:spacing w:after="60" w:before="60"/>
            </w:pPr>
            <w:r>
              <w:rPr>
                <w:rFonts w:ascii="Arial" w:cs="Arial" w:eastAsia="Arial" w:hAnsi="Arial"/>
                <w:color w:val="333333"/>
                <w:sz w:val="22"/>
                <w:szCs w:val="22"/>
              </w:rPr>
              <w:t xml:space="preserve">  •  247 6th Ave N — 4-unit fourplex | $950,000 | Rents 25% below market | Appraisal floor: $780K+</w:t>
            </w:r>
          </w:p>
          <w:p>
            <w:pPr>
              <w:spacing w:after="60" w:before="60"/>
            </w:pPr>
            <w:r>
              <w:rPr>
                <w:rFonts w:ascii="Arial" w:cs="Arial" w:eastAsia="Arial" w:hAnsi="Arial"/>
                <w:color w:val="333333"/>
                <w:sz w:val="22"/>
                <w:szCs w:val="22"/>
              </w:rPr>
              <w:t xml:space="preserve">  •  255 6th Ave N — 6-unit historic building | $1,200,000 | CMA range: $1,095K–$1,250K | ~95% income upside at stabilization | Roof 2021</w:t>
            </w:r>
          </w:p>
          <w:p>
            <w:pPr>
              <w:spacing w:after="60" w:before="60"/>
            </w:pPr>
            <w:r>
              <w:rPr>
                <w:rFonts w:ascii="Arial" w:cs="Arial" w:eastAsia="Arial" w:hAnsi="Arial"/>
                <w:color w:val="333333"/>
                <w:sz w:val="22"/>
                <w:szCs w:val="22"/>
              </w:rPr>
              <w:t xml:space="preserve">  •  Together: $2,150,000 | 10 units | Adjacent parcels | One close</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Both properties are Flood Zone X, both have third-party appraisal support, and both have a clear rental upside story. For a 1031 buyer who needs to move with confidence, this is the deal that closes — not the one that falls apart in due diligence.</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Timeline sensitive? Let me know and I will prioritize you for a showing and send the full package immediately.</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i/>
                <w:iCs/>
                <w:color w:val="555555"/>
                <w:sz w:val="22"/>
                <w:szCs w:val="22"/>
              </w:rPr>
              <w:t xml:space="preserve">[YOUR NAME] | [BROKERAGE] | [PHONE] | [EMAIL]</w:t>
            </w:r>
          </w:p>
        </w:tc>
      </w:tr>
    </w:tbl>
    <w:p>
      <w:pPr>
        <w:spacing w:after="80" w:before="80"/>
      </w:pPr>
    </w:p>
    <w:p>
      <w:pPr>
        <w:spacing w:after="80" w:before="200"/>
      </w:pPr>
      <w:r>
        <w:rPr>
          <w:rFonts w:ascii="Arial" w:cs="Arial" w:eastAsia="Arial" w:hAnsi="Arial"/>
          <w:b/>
          <w:bCs/>
          <w:color w:val="C8972B"/>
          <w:sz w:val="22"/>
          <w:szCs w:val="22"/>
        </w:rPr>
        <w:t xml:space="preserve">EMAIL TEMPLATE 3 — Owner-Occupant / House-Hacker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3A5C" w:sz="4"/>
              <w:left w:val="single" w:color="C8972B" w:sz="16"/>
              <w:bottom w:val="single" w:color="1B3A5C" w:sz="4"/>
              <w:right w:val="single" w:color="1B3A5C" w:sz="4"/>
            </w:tcBorders>
            <w:shd w:fill="D5E8F0" w:val="clear"/>
            <w:tcMar>
              <w:top w:type="dxa" w:w="160"/>
              <w:left w:type="dxa" w:w="200"/>
              <w:bottom w:type="dxa" w:w="160"/>
              <w:right w:type="dxa" w:w="200"/>
            </w:tcMar>
          </w:tcPr>
          <w:p>
            <w:pPr>
              <w:spacing w:after="60" w:before="60"/>
            </w:pPr>
            <w:r>
              <w:rPr>
                <w:rFonts w:ascii="Arial" w:cs="Arial" w:eastAsia="Arial" w:hAnsi="Arial"/>
                <w:b/>
                <w:bCs/>
                <w:color w:val="1B3A5C"/>
                <w:sz w:val="22"/>
                <w:szCs w:val="22"/>
              </w:rPr>
              <w:t xml:space="preserve">SUBJECT: </w:t>
            </w:r>
            <w:r>
              <w:rPr>
                <w:rFonts w:ascii="Arial" w:cs="Arial" w:eastAsia="Arial" w:hAnsi="Arial"/>
                <w:color w:val="333333"/>
                <w:sz w:val="22"/>
                <w:szCs w:val="22"/>
              </w:rPr>
              <w:t xml:space="preserve">Live in St. Pete's Best Neighborhood — Let Your Tenants Cover the Mortgage</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Hi [First Name],</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Have you ever looked at a fourplex in Historic Old Northeast and thought: "I should own one of these"? I have one available — and it may be the most practical path to living in Downtown St. Pete for free while building serious equity.</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b/>
                <w:bCs/>
                <w:color w:val="1B3A5C"/>
                <w:sz w:val="22"/>
                <w:szCs w:val="22"/>
              </w:rPr>
              <w:t xml:space="preserve">247 6th Avenue N. — 4 units, concrete block, on-site parking:</w:t>
            </w:r>
          </w:p>
          <w:p>
            <w:pPr>
              <w:spacing w:after="60" w:before="60"/>
            </w:pPr>
            <w:r>
              <w:rPr>
                <w:rFonts w:ascii="Arial" w:cs="Arial" w:eastAsia="Arial" w:hAnsi="Arial"/>
                <w:color w:val="333333"/>
                <w:sz w:val="22"/>
                <w:szCs w:val="22"/>
              </w:rPr>
              <w:t xml:space="preserve">  •  You live in the 2BR/2BA — and rent out all three 1-bedrooms at $1,400/mo market rate</w:t>
            </w:r>
          </w:p>
          <w:p>
            <w:pPr>
              <w:spacing w:after="60" w:before="60"/>
            </w:pPr>
            <w:r>
              <w:rPr>
                <w:rFonts w:ascii="Arial" w:cs="Arial" w:eastAsia="Arial" w:hAnsi="Arial"/>
                <w:color w:val="333333"/>
                <w:sz w:val="22"/>
                <w:szCs w:val="22"/>
              </w:rPr>
              <w:t xml:space="preserve">  •  $4,200/mo in rental income from three tenants covers most or all of your mortgage payment</w:t>
            </w:r>
          </w:p>
          <w:p>
            <w:pPr>
              <w:spacing w:after="60" w:before="60"/>
            </w:pPr>
            <w:r>
              <w:rPr>
                <w:rFonts w:ascii="Arial" w:cs="Arial" w:eastAsia="Arial" w:hAnsi="Arial"/>
                <w:color w:val="333333"/>
                <w:sz w:val="22"/>
                <w:szCs w:val="22"/>
              </w:rPr>
              <w:t xml:space="preserve">  •  Qualifies for conventional or FHA owner-occupant financing (low down payment options available)</w:t>
            </w:r>
          </w:p>
          <w:p>
            <w:pPr>
              <w:spacing w:after="60" w:before="60"/>
            </w:pPr>
            <w:r>
              <w:rPr>
                <w:rFonts w:ascii="Arial" w:cs="Arial" w:eastAsia="Arial" w:hAnsi="Arial"/>
                <w:color w:val="333333"/>
                <w:sz w:val="22"/>
                <w:szCs w:val="22"/>
              </w:rPr>
              <w:t xml:space="preserve">  •  Flood Zone X — no mandatory flood insurance</w:t>
            </w:r>
          </w:p>
          <w:p>
            <w:pPr>
              <w:spacing w:after="60" w:before="60"/>
            </w:pPr>
            <w:r>
              <w:rPr>
                <w:rFonts w:ascii="Arial" w:cs="Arial" w:eastAsia="Arial" w:hAnsi="Arial"/>
                <w:color w:val="333333"/>
                <w:sz w:val="22"/>
                <w:szCs w:val="22"/>
              </w:rPr>
              <w:t xml:space="preserve">  •  Walking distance to Beach Drive, The Pier, and the best restaurants in St. Pete</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List price: $950,000. Appraisal-supported value floor: $780,000+. This is a rare chance to buy into a neighborhood that almost never trades.</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color w:val="333333"/>
                <w:sz w:val="22"/>
                <w:szCs w:val="22"/>
              </w:rPr>
              <w:t xml:space="preserve">Want to walk through it? I can make that happen this week.</w:t>
            </w:r>
          </w:p>
          <w:p>
            <w:pPr>
              <w:spacing w:after="60" w:before="60"/>
            </w:pPr>
            <w:r>
              <w:rPr>
                <w:rFonts w:ascii="Arial" w:cs="Arial" w:eastAsia="Arial" w:hAnsi="Arial"/>
                <w:color w:val="FFFFFF"/>
                <w:sz w:val="14"/>
                <w:szCs w:val="14"/>
              </w:rPr>
              <w:t xml:space="preserve"> </w:t>
            </w:r>
          </w:p>
          <w:p>
            <w:pPr>
              <w:spacing w:after="60" w:before="60"/>
            </w:pPr>
            <w:r>
              <w:rPr>
                <w:rFonts w:ascii="Arial" w:cs="Arial" w:eastAsia="Arial" w:hAnsi="Arial"/>
                <w:i/>
                <w:iCs/>
                <w:color w:val="555555"/>
                <w:sz w:val="22"/>
                <w:szCs w:val="22"/>
              </w:rPr>
              <w:t xml:space="preserve">[YOUR NAME] | [BROKERAGE] | [PHONE] | [EMAIL]</w:t>
            </w:r>
          </w:p>
        </w:tc>
      </w:tr>
    </w:tbl>
    <w:p>
      <w:r>
        <w:br w:type="page"/>
      </w:r>
    </w:p>
    <w:p>
      <w:pPr>
        <w:pStyle w:val="Heading1"/>
        <w:spacing w:after="160" w:before="360"/>
      </w:pPr>
      <w:r>
        <w:rPr>
          <w:rFonts w:ascii="Arial" w:cs="Arial" w:eastAsia="Arial" w:hAnsi="Arial"/>
          <w:b/>
          <w:bCs/>
          <w:color w:val="1B3A5C"/>
          <w:sz w:val="32"/>
          <w:szCs w:val="32"/>
        </w:rPr>
        <w:t xml:space="preserve">SECTION 5: PLATFORM &amp; CHANNEL DISTRIBUTION STRATEGY</w:t>
      </w:r>
    </w:p>
    <w:p>
      <w:pPr>
        <w:pBdr>
          <w:bottom w:val="single" w:color="C8972B" w:sz="6" w:space="1"/>
        </w:pBdr>
        <w:spacing w:after="160" w:before="160"/>
      </w:pPr>
    </w:p>
    <w:p>
      <w:pPr>
        <w:pStyle w:val="Heading2"/>
        <w:spacing w:after="120" w:before="280"/>
      </w:pPr>
      <w:r>
        <w:rPr>
          <w:rFonts w:ascii="Arial" w:cs="Arial" w:eastAsia="Arial" w:hAnsi="Arial"/>
          <w:b/>
          <w:bCs/>
          <w:color w:val="1B3A5C"/>
          <w:sz w:val="26"/>
          <w:szCs w:val="26"/>
        </w:rPr>
        <w:t xml:space="preserve">Recommended Listing Platform Matrix</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3380"/>
        <w:gridCol w:w="3380"/>
      </w:tblGrid>
      <w:tr>
        <w:tc>
          <w:tcPr>
            <w:tcW w:type="dxa" w:w="2600"/>
            <w:tcBorders>
              <w:top w:val="single" w:color="CCCCCC" w:sz="1"/>
              <w:left w:val="single" w:color="CCCCCC" w:sz="1"/>
              <w:bottom w:val="single" w:color="CCCCCC" w:sz="1"/>
              <w:right w:val="single" w:color="CCCCCC" w:sz="1"/>
            </w:tcBorders>
            <w:shd w:fill="1B3A5C" w:val="clear"/>
            <w:tcMar>
              <w:top w:type="dxa" w:w="100"/>
              <w:left w:type="dxa" w:w="140"/>
              <w:bottom w:type="dxa" w:w="100"/>
              <w:right w:type="dxa" w:w="140"/>
            </w:tcMar>
          </w:tcPr>
          <w:p>
            <w:r>
              <w:rPr>
                <w:rFonts w:ascii="Arial" w:cs="Arial" w:eastAsia="Arial" w:hAnsi="Arial"/>
                <w:b/>
                <w:bCs/>
                <w:color w:val="FFFFFF"/>
                <w:sz w:val="20"/>
                <w:szCs w:val="20"/>
              </w:rPr>
              <w:t xml:space="preserve">Platform</w:t>
            </w:r>
          </w:p>
        </w:tc>
        <w:tc>
          <w:tcPr>
            <w:tcW w:type="dxa" w:w="3380"/>
            <w:tcBorders>
              <w:top w:val="single" w:color="CCCCCC" w:sz="1"/>
              <w:left w:val="single" w:color="CCCCCC" w:sz="1"/>
              <w:bottom w:val="single" w:color="CCCCCC" w:sz="1"/>
              <w:right w:val="single" w:color="CCCCCC" w:sz="1"/>
            </w:tcBorders>
            <w:shd w:fill="1B3A5C" w:val="clear"/>
            <w:tcMar>
              <w:top w:type="dxa" w:w="100"/>
              <w:left w:type="dxa" w:w="140"/>
              <w:bottom w:type="dxa" w:w="100"/>
              <w:right w:type="dxa" w:w="140"/>
            </w:tcMar>
          </w:tcPr>
          <w:p>
            <w:r>
              <w:rPr>
                <w:rFonts w:ascii="Arial" w:cs="Arial" w:eastAsia="Arial" w:hAnsi="Arial"/>
                <w:b/>
                <w:bCs/>
                <w:color w:val="FFFFFF"/>
                <w:sz w:val="20"/>
                <w:szCs w:val="20"/>
              </w:rPr>
              <w:t xml:space="preserve">Best For</w:t>
            </w:r>
          </w:p>
        </w:tc>
        <w:tc>
          <w:tcPr>
            <w:tcW w:type="dxa" w:w="3380"/>
            <w:tcBorders>
              <w:top w:val="single" w:color="CCCCCC" w:sz="1"/>
              <w:left w:val="single" w:color="CCCCCC" w:sz="1"/>
              <w:bottom w:val="single" w:color="CCCCCC" w:sz="1"/>
              <w:right w:val="single" w:color="CCCCCC" w:sz="1"/>
            </w:tcBorders>
            <w:shd w:fill="1B3A5C" w:val="clear"/>
            <w:tcMar>
              <w:top w:type="dxa" w:w="100"/>
              <w:left w:type="dxa" w:w="140"/>
              <w:bottom w:type="dxa" w:w="100"/>
              <w:right w:type="dxa" w:w="140"/>
            </w:tcMar>
          </w:tcPr>
          <w:p>
            <w:r>
              <w:rPr>
                <w:rFonts w:ascii="Arial" w:cs="Arial" w:eastAsia="Arial" w:hAnsi="Arial"/>
                <w:b/>
                <w:bCs/>
                <w:color w:val="FFFFFF"/>
                <w:sz w:val="20"/>
                <w:szCs w:val="20"/>
              </w:rPr>
              <w:t xml:space="preserve">Priority</w:t>
            </w:r>
          </w:p>
        </w:tc>
      </w:tr>
      <w:tr>
        <w:tc>
          <w:tcPr>
            <w:tcW w:type="dxa" w:w="260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Crexi</w:t>
            </w:r>
          </w:p>
        </w:tc>
        <w:tc>
          <w:tcPr>
            <w:tcW w:type="dxa" w:w="338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Commercial buyers, syndicators, 1031 investors nationally</w:t>
            </w:r>
          </w:p>
        </w:tc>
        <w:tc>
          <w:tcPr>
            <w:tcW w:type="dxa" w:w="338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HIGH — Portfolio OM + individual listings</w:t>
            </w:r>
          </w:p>
        </w:tc>
      </w:tr>
      <w:tr>
        <w:tc>
          <w:tcPr>
            <w:tcW w:type="dxa" w:w="260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CoStar</w:t>
            </w:r>
          </w:p>
        </w:tc>
        <w:tc>
          <w:tcPr>
            <w:tcW w:type="dxa" w:w="338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Institutional buyers, brokers, national funds</w:t>
            </w:r>
          </w:p>
        </w:tc>
        <w:tc>
          <w:tcPr>
            <w:tcW w:type="dxa" w:w="338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HIGH — Portfolio play</w:t>
            </w:r>
          </w:p>
        </w:tc>
      </w:tr>
      <w:tr>
        <w:tc>
          <w:tcPr>
            <w:tcW w:type="dxa" w:w="260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MLS (PTAR)</w:t>
            </w:r>
          </w:p>
        </w:tc>
        <w:tc>
          <w:tcPr>
            <w:tcW w:type="dxa" w:w="338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Owner-occupants, local residential investors, house-hackers</w:t>
            </w:r>
          </w:p>
        </w:tc>
        <w:tc>
          <w:tcPr>
            <w:tcW w:type="dxa" w:w="338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HIGH — Property A (247) especially</w:t>
            </w:r>
          </w:p>
        </w:tc>
      </w:tr>
      <w:tr>
        <w:tc>
          <w:tcPr>
            <w:tcW w:type="dxa" w:w="260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LoopNet</w:t>
            </w:r>
          </w:p>
        </w:tc>
        <w:tc>
          <w:tcPr>
            <w:tcW w:type="dxa" w:w="338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National commercial buyer audience</w:t>
            </w:r>
          </w:p>
        </w:tc>
        <w:tc>
          <w:tcPr>
            <w:tcW w:type="dxa" w:w="338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MEDIUM — syndicated from Crexi</w:t>
            </w:r>
          </w:p>
        </w:tc>
      </w:tr>
      <w:tr>
        <w:tc>
          <w:tcPr>
            <w:tcW w:type="dxa" w:w="260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Zillow / Redfin</w:t>
            </w:r>
          </w:p>
        </w:tc>
        <w:tc>
          <w:tcPr>
            <w:tcW w:type="dxa" w:w="338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House-hackers, first-time multifamily buyers</w:t>
            </w:r>
          </w:p>
        </w:tc>
        <w:tc>
          <w:tcPr>
            <w:tcW w:type="dxa" w:w="338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MEDIUM — Property A</w:t>
            </w:r>
          </w:p>
        </w:tc>
      </w:tr>
      <w:tr>
        <w:tc>
          <w:tcPr>
            <w:tcW w:type="dxa" w:w="260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LinkedIn Direct Outreach</w:t>
            </w:r>
          </w:p>
        </w:tc>
        <w:tc>
          <w:tcPr>
            <w:tcW w:type="dxa" w:w="338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Syndicators, fund managers, family offices</w:t>
            </w:r>
          </w:p>
        </w:tc>
        <w:tc>
          <w:tcPr>
            <w:tcW w:type="dxa" w:w="338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HIGH — direct email + OM delivery</w:t>
            </w:r>
          </w:p>
        </w:tc>
      </w:tr>
      <w:tr>
        <w:tc>
          <w:tcPr>
            <w:tcW w:type="dxa" w:w="260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Local CRE Broker Network</w:t>
            </w:r>
          </w:p>
        </w:tc>
        <w:tc>
          <w:tcPr>
            <w:tcW w:type="dxa" w:w="338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1031 buyers already in the market, co-broker relationships</w:t>
            </w:r>
          </w:p>
        </w:tc>
        <w:tc>
          <w:tcPr>
            <w:tcW w:type="dxa" w:w="3380"/>
            <w:tcBorders>
              <w:top w:val="single" w:color="CCCCCC" w:sz="1"/>
              <w:left w:val="single" w:color="CCCCCC" w:sz="1"/>
              <w:bottom w:val="single" w:color="CCCCCC" w:sz="1"/>
              <w:right w:val="single" w:color="CCCCCC" w:sz="1"/>
            </w:tcBorders>
            <w:shd w:fill="D5E8F0" w:val="clear"/>
            <w:tcMar>
              <w:top w:type="dxa" w:w="80"/>
              <w:left w:type="dxa" w:w="140"/>
              <w:bottom w:type="dxa" w:w="80"/>
              <w:right w:type="dxa" w:w="140"/>
            </w:tcMar>
          </w:tcPr>
          <w:p>
            <w:r>
              <w:rPr>
                <w:rFonts w:ascii="Arial" w:cs="Arial" w:eastAsia="Arial" w:hAnsi="Arial"/>
                <w:color w:val="333333"/>
                <w:sz w:val="19"/>
                <w:szCs w:val="19"/>
              </w:rPr>
              <w:t xml:space="preserve">HIGH — fastest path to close</w:t>
            </w:r>
          </w:p>
        </w:tc>
      </w:tr>
      <w:tr>
        <w:tc>
          <w:tcPr>
            <w:tcW w:type="dxa" w:w="260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BiggerPockets</w:t>
            </w:r>
          </w:p>
        </w:tc>
        <w:tc>
          <w:tcPr>
            <w:tcW w:type="dxa" w:w="338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Individual investors, value-add community</w:t>
            </w:r>
          </w:p>
        </w:tc>
        <w:tc>
          <w:tcPr>
            <w:tcW w:type="dxa" w:w="3380"/>
            <w:tcBorders>
              <w:top w:val="single" w:color="CCCCCC" w:sz="1"/>
              <w:left w:val="single" w:color="CCCCCC" w:sz="1"/>
              <w:bottom w:val="single" w:color="CCCCCC" w:sz="1"/>
              <w:right w:val="single" w:color="CCCCCC" w:sz="1"/>
            </w:tcBorders>
            <w:shd w:fill="FFFFFF" w:val="clear"/>
            <w:tcMar>
              <w:top w:type="dxa" w:w="80"/>
              <w:left w:type="dxa" w:w="140"/>
              <w:bottom w:type="dxa" w:w="80"/>
              <w:right w:type="dxa" w:w="140"/>
            </w:tcMar>
          </w:tcPr>
          <w:p>
            <w:r>
              <w:rPr>
                <w:rFonts w:ascii="Arial" w:cs="Arial" w:eastAsia="Arial" w:hAnsi="Arial"/>
                <w:color w:val="333333"/>
                <w:sz w:val="19"/>
                <w:szCs w:val="19"/>
              </w:rPr>
              <w:t xml:space="preserve">MEDIUM — organic and paid placement</w:t>
            </w:r>
          </w:p>
        </w:tc>
      </w:tr>
    </w:tbl>
    <w:p>
      <w:pPr>
        <w:spacing w:after="80" w:before="80"/>
      </w:pPr>
    </w:p>
    <w:p>
      <w:pPr>
        <w:pStyle w:val="Heading2"/>
        <w:spacing w:after="120" w:before="280"/>
      </w:pPr>
      <w:r>
        <w:rPr>
          <w:rFonts w:ascii="Arial" w:cs="Arial" w:eastAsia="Arial" w:hAnsi="Arial"/>
          <w:b/>
          <w:bCs/>
          <w:color w:val="1B3A5C"/>
          <w:sz w:val="26"/>
          <w:szCs w:val="26"/>
        </w:rPr>
        <w:t xml:space="preserve">Recommended Listing Sequencing</w:t>
      </w:r>
    </w:p>
    <w:p>
      <w:pPr>
        <w:pStyle w:val="ListParagraph"/>
        <w:numPr>
          <w:ilvl w:val="0"/>
          <w:numId w:val="2"/>
        </w:numPr>
        <w:spacing w:after="60" w:before="60"/>
      </w:pPr>
      <w:r>
        <w:rPr>
          <w:rFonts w:ascii="Arial" w:cs="Arial" w:eastAsia="Arial" w:hAnsi="Arial"/>
          <w:b/>
          <w:bCs/>
          <w:color w:val="333333"/>
          <w:sz w:val="22"/>
          <w:szCs w:val="22"/>
        </w:rPr>
        <w:t xml:space="preserve">Pre-Market: </w:t>
      </w:r>
      <w:r>
        <w:rPr>
          <w:rFonts w:ascii="Arial" w:cs="Arial" w:eastAsia="Arial" w:hAnsi="Arial"/>
          <w:color w:val="333333"/>
          <w:sz w:val="22"/>
          <w:szCs w:val="22"/>
        </w:rPr>
        <w:t xml:space="preserve">Week 1: Broker-to-broker quiet outreach to top 10–15 local CRE buyer relationships. Present portfolio OM before public launch.</w:t>
      </w:r>
    </w:p>
    <w:p>
      <w:pPr>
        <w:pStyle w:val="ListParagraph"/>
        <w:numPr>
          <w:ilvl w:val="0"/>
          <w:numId w:val="2"/>
        </w:numPr>
        <w:spacing w:after="60" w:before="60"/>
      </w:pPr>
      <w:r>
        <w:rPr>
          <w:rFonts w:ascii="Arial" w:cs="Arial" w:eastAsia="Arial" w:hAnsi="Arial"/>
          <w:b/>
          <w:bCs/>
          <w:color w:val="333333"/>
          <w:sz w:val="22"/>
          <w:szCs w:val="22"/>
        </w:rPr>
        <w:t xml:space="preserve">Public Launch: </w:t>
      </w:r>
      <w:r>
        <w:rPr>
          <w:rFonts w:ascii="Arial" w:cs="Arial" w:eastAsia="Arial" w:hAnsi="Arial"/>
          <w:color w:val="333333"/>
          <w:sz w:val="22"/>
          <w:szCs w:val="22"/>
        </w:rPr>
        <w:t xml:space="preserve">Week 2: Simultaneous Crexi + CoStar + MLS launch. Portfolio pitch leads; individual property listings are nested within it.</w:t>
      </w:r>
    </w:p>
    <w:p>
      <w:pPr>
        <w:pStyle w:val="ListParagraph"/>
        <w:numPr>
          <w:ilvl w:val="0"/>
          <w:numId w:val="2"/>
        </w:numPr>
        <w:spacing w:after="60" w:before="60"/>
      </w:pPr>
      <w:r>
        <w:rPr>
          <w:rFonts w:ascii="Arial" w:cs="Arial" w:eastAsia="Arial" w:hAnsi="Arial"/>
          <w:b/>
          <w:bCs/>
          <w:color w:val="333333"/>
          <w:sz w:val="22"/>
          <w:szCs w:val="22"/>
        </w:rPr>
        <w:t xml:space="preserve">Direct Outreach: </w:t>
      </w:r>
      <w:r>
        <w:rPr>
          <w:rFonts w:ascii="Arial" w:cs="Arial" w:eastAsia="Arial" w:hAnsi="Arial"/>
          <w:color w:val="333333"/>
          <w:sz w:val="22"/>
          <w:szCs w:val="22"/>
        </w:rPr>
        <w:t xml:space="preserve">Week 2–3: LinkedIn direct outreach campaign to syndicators and fund managers using Template 1. QI/attorney network push using Template 2 targeting 1031 buyers.</w:t>
      </w:r>
    </w:p>
    <w:p>
      <w:pPr>
        <w:pStyle w:val="ListParagraph"/>
        <w:numPr>
          <w:ilvl w:val="0"/>
          <w:numId w:val="2"/>
        </w:numPr>
        <w:spacing w:after="60" w:before="60"/>
      </w:pPr>
      <w:r>
        <w:rPr>
          <w:rFonts w:ascii="Arial" w:cs="Arial" w:eastAsia="Arial" w:hAnsi="Arial"/>
          <w:b/>
          <w:bCs/>
          <w:color w:val="333333"/>
          <w:sz w:val="22"/>
          <w:szCs w:val="22"/>
        </w:rPr>
        <w:t xml:space="preserve">Ongoing: </w:t>
      </w:r>
      <w:r>
        <w:rPr>
          <w:rFonts w:ascii="Arial" w:cs="Arial" w:eastAsia="Arial" w:hAnsi="Arial"/>
          <w:color w:val="333333"/>
          <w:sz w:val="22"/>
          <w:szCs w:val="22"/>
        </w:rPr>
        <w:t xml:space="preserve">Week 3+: Evaluate first offers. If portfolio offer does not materialize within 3 weeks of active marketing, accelerate individual property story on MLS for Property A owner-occupant demand.</w:t>
      </w:r>
    </w:p>
    <w:p>
      <w:pPr>
        <w:pStyle w:val="ListParagraph"/>
        <w:numPr>
          <w:ilvl w:val="0"/>
          <w:numId w:val="2"/>
        </w:numPr>
        <w:spacing w:after="60" w:before="60"/>
      </w:pPr>
      <w:r>
        <w:rPr>
          <w:rFonts w:ascii="Arial" w:cs="Arial" w:eastAsia="Arial" w:hAnsi="Arial"/>
          <w:b/>
          <w:bCs/>
          <w:color w:val="333333"/>
          <w:sz w:val="22"/>
          <w:szCs w:val="22"/>
        </w:rPr>
        <w:t xml:space="preserve">Pricing Review: </w:t>
      </w:r>
      <w:r>
        <w:rPr>
          <w:rFonts w:ascii="Arial" w:cs="Arial" w:eastAsia="Arial" w:hAnsi="Arial"/>
          <w:color w:val="333333"/>
          <w:sz w:val="22"/>
          <w:szCs w:val="22"/>
        </w:rPr>
        <w:t xml:space="preserve">30-Day Review: If no contract, evaluate price positioning. Market data supports a 3–5% reduction strategy before any broader price adjustment.</w:t>
      </w:r>
    </w:p>
    <w:p>
      <w:pPr>
        <w:spacing w:after="80"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3A5C" w:sz="4"/>
              <w:left w:val="single" w:color="C8972B" w:sz="16"/>
              <w:bottom w:val="single" w:color="1B3A5C" w:sz="4"/>
              <w:right w:val="single" w:color="1B3A5C" w:sz="4"/>
            </w:tcBorders>
            <w:shd w:fill="FDF3DC" w:val="clear"/>
            <w:tcMar>
              <w:top w:type="dxa" w:w="160"/>
              <w:left w:type="dxa" w:w="200"/>
              <w:bottom w:type="dxa" w:w="160"/>
              <w:right w:type="dxa" w:w="200"/>
            </w:tcMar>
          </w:tcPr>
          <w:p>
            <w:pPr>
              <w:spacing w:after="60" w:before="60"/>
            </w:pPr>
            <w:r>
              <w:rPr>
                <w:rFonts w:ascii="Arial" w:cs="Arial" w:eastAsia="Arial" w:hAnsi="Arial"/>
                <w:b/>
                <w:bCs/>
                <w:color w:val="1B3A5C"/>
                <w:sz w:val="22"/>
                <w:szCs w:val="22"/>
              </w:rPr>
              <w:t xml:space="preserve">AGENT'S NOTE: </w:t>
            </w:r>
            <w:r>
              <w:rPr>
                <w:rFonts w:ascii="Arial" w:cs="Arial" w:eastAsia="Arial" w:hAnsi="Arial"/>
                <w:color w:val="333333"/>
                <w:sz w:val="22"/>
                <w:szCs w:val="22"/>
              </w:rPr>
              <w:t xml:space="preserve">The portfolio story is the premium. Lead with it, but never let it prevent either property from trading individually. The moment a credible single-asset offer emerges for one property, the portfolio discount for the remaining asset becomes a powerful secondary marketing lever.</w:t>
            </w:r>
          </w:p>
        </w:tc>
      </w:tr>
    </w:tbl>
    <w:p>
      <w:pPr>
        <w:spacing w:after="80" w:before="80"/>
      </w:pPr>
    </w:p>
    <w:p>
      <w:pPr>
        <w:pStyle w:val="Heading2"/>
        <w:spacing w:after="120" w:before="280"/>
      </w:pPr>
      <w:r>
        <w:rPr>
          <w:rFonts w:ascii="Arial" w:cs="Arial" w:eastAsia="Arial" w:hAnsi="Arial"/>
          <w:b/>
          <w:bCs/>
          <w:color w:val="1B3A5C"/>
          <w:sz w:val="26"/>
          <w:szCs w:val="26"/>
        </w:rPr>
        <w:t xml:space="preserve">Final Strategic Note</w:t>
      </w:r>
    </w:p>
    <w:p>
      <w:pPr>
        <w:spacing w:after="80" w:before="80"/>
      </w:pPr>
      <w:r>
        <w:rPr>
          <w:rFonts w:ascii="Arial" w:cs="Arial" w:eastAsia="Arial" w:hAnsi="Arial"/>
          <w:color w:val="333333"/>
          <w:sz w:val="22"/>
          <w:szCs w:val="22"/>
        </w:rPr>
        <w:t xml:space="preserve">The combination of two appraisals in hand, a clear rent-to-market story, Flood Zone X status, and genuine walkable downtown adjacency makes this one of the most fully documented value-add opportunities in the Tampa Bay small multifamily market. The listing agent's job is not to convince investors this is a good deal — the numbers do that. The job is to make sure the right investors know it exists before someone else gets there first.</w:t>
      </w:r>
    </w:p>
    <w:p>
      <w:pPr>
        <w:spacing w:after="80" w:before="80"/>
      </w:pPr>
    </w:p>
    <w:p>
      <w:pPr>
        <w:pBdr>
          <w:bottom w:val="single" w:color="C8972B" w:sz="6" w:space="1"/>
        </w:pBdr>
        <w:spacing w:after="160" w:before="160"/>
      </w:pPr>
    </w:p>
    <w:p>
      <w:pPr>
        <w:spacing w:after="60" w:before="120"/>
        <w:jc w:val="center"/>
      </w:pPr>
      <w:r>
        <w:rPr>
          <w:rFonts w:ascii="Arial" w:cs="Arial" w:eastAsia="Arial" w:hAnsi="Arial"/>
          <w:i/>
          <w:iCs/>
          <w:color w:val="555555"/>
          <w:sz w:val="18"/>
          <w:szCs w:val="18"/>
        </w:rPr>
        <w:t xml:space="preserve">CONFIDENTIAL — For Qualified Buyers and Registered Brokers Only</w:t>
      </w:r>
    </w:p>
    <w:p>
      <w:pPr>
        <w:spacing w:after="40" w:before="40"/>
        <w:jc w:val="center"/>
      </w:pPr>
      <w:r>
        <w:rPr>
          <w:rFonts w:ascii="Arial" w:cs="Arial" w:eastAsia="Arial" w:hAnsi="Arial"/>
          <w:i/>
          <w:iCs/>
          <w:color w:val="555555"/>
          <w:sz w:val="17"/>
          <w:szCs w:val="17"/>
        </w:rPr>
        <w:t xml:space="preserve">This document is a marketing analysis and pricing strategy, not a substitute for independent legal, tax, or investment advice.</w:t>
      </w:r>
    </w:p>
    <w:sectPr>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360"/>
      <w:outlineLvl w:val="0"/>
    </w:pPr>
    <w:rPr>
      <w:rFonts w:ascii="Arial" w:cs="Arial" w:eastAsia="Arial" w:hAnsi="Arial"/>
      <w:b/>
      <w:bCs/>
      <w:color w:val="1B3A5C"/>
      <w:sz w:val="32"/>
      <w:szCs w:val="32"/>
    </w:rPr>
  </w:style>
  <w:style w:type="paragraph" w:styleId="Heading2">
    <w:name w:val="Heading 2"/>
    <w:basedOn w:val="Normal"/>
    <w:next w:val="Normal"/>
    <w:qFormat/>
    <w:pPr>
      <w:spacing w:after="120" w:before="280"/>
      <w:outlineLvl w:val="1"/>
    </w:pPr>
    <w:rPr>
      <w:rFonts w:ascii="Arial" w:cs="Arial" w:eastAsia="Arial" w:hAnsi="Arial"/>
      <w:b/>
      <w:bCs/>
      <w:color w:val="1B3A5C"/>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2026-06-22T20:20:23.843Z</dcterms:created>
  <dcterms:modified xsi:type="dcterms:W3CDTF">2026-06-22T20:20:23.843Z</dcterms:modified>
</cp:coreProperties>
</file>

<file path=docProps/custom.xml><?xml version="1.0" encoding="utf-8"?>
<Properties xmlns="http://schemas.openxmlformats.org/officeDocument/2006/custom-properties" xmlns:vt="http://schemas.openxmlformats.org/officeDocument/2006/docPropsVTypes"/>
</file>