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100"/>
        <w:jc w:val="center"/>
      </w:pPr>
      <w:r>
        <w:drawing>
          <wp:inline xmlns:a="http://schemas.openxmlformats.org/drawingml/2006/main" xmlns:pic="http://schemas.openxmlformats.org/drawingml/2006/picture">
            <wp:extent cx="6766560" cy="4069080"/>
            <wp:docPr id="1" name="Picture 1"/>
            <wp:cNvGraphicFramePr>
              <a:graphicFrameLocks noChangeAspect="1"/>
            </wp:cNvGraphicFramePr>
            <a:graphic>
              <a:graphicData uri="http://schemas.openxmlformats.org/drawingml/2006/picture">
                <pic:pic>
                  <pic:nvPicPr>
                    <pic:cNvPr id="0" name="hero.jpg"/>
                    <pic:cNvPicPr/>
                  </pic:nvPicPr>
                  <pic:blipFill>
                    <a:blip r:embed="rId9"/>
                    <a:stretch>
                      <a:fillRect/>
                    </a:stretch>
                  </pic:blipFill>
                  <pic:spPr>
                    <a:xfrm>
                      <a:off x="0" y="0"/>
                      <a:ext cx="6766560" cy="4069080"/>
                    </a:xfrm>
                    <a:prstGeom prst="rect"/>
                  </pic:spPr>
                </pic:pic>
              </a:graphicData>
            </a:graphic>
          </wp:inline>
        </w:drawing>
      </w:r>
    </w:p>
    <w:p>
      <w:pPr>
        <w:spacing w:after="0"/>
        <w:jc w:val="center"/>
      </w:pPr>
      <w:r>
        <w:rPr>
          <w:rFonts w:ascii="Aptos Display" w:hAnsi="Aptos Display"/>
          <w:b/>
          <w:color w:val="15324A"/>
          <w:sz w:val="56"/>
        </w:rPr>
        <w:t>765 E Broadway</w:t>
      </w:r>
    </w:p>
    <w:p>
      <w:pPr>
        <w:spacing w:before="0" w:after="200" w:line="259" w:lineRule="auto"/>
        <w:jc w:val="center"/>
      </w:pPr>
      <w:r>
        <w:rPr>
          <w:rFonts w:ascii="Aptos" w:hAnsi="Aptos"/>
          <w:b w:val="0"/>
          <w:color w:val="1F5D82"/>
          <w:sz w:val="30"/>
        </w:rPr>
        <w:t>Goldendale Washington</w:t>
      </w:r>
    </w:p>
    <w:tbl>
      <w:tblPr>
        <w:tblW w:type="auto" w:w="0"/>
        <w:tblLayout w:type="fixed"/>
        <w:tblLook w:firstColumn="1" w:firstRow="1" w:lastColumn="0" w:lastRow="0" w:noHBand="0" w:noVBand="1" w:val="04A0"/>
      </w:tblPr>
      <w:tblGrid>
        <w:gridCol w:w="3552"/>
        <w:gridCol w:w="3552"/>
        <w:gridCol w:w="3552"/>
      </w:tblGrid>
      <w:tr>
        <w:tc>
          <w:tcPr>
            <w:tcW w:type="dxa" w:w="3384"/>
            <w:shd w:fill="15324A"/>
            <w:tcMar>
              <w:top w:w="160" w:type="dxa"/>
              <w:start w:w="80" w:type="dxa"/>
              <w:bottom w:w="160" w:type="dxa"/>
              <w:end w:w="80" w:type="dxa"/>
            </w:tcMar>
          </w:tcPr>
          <w:p>
            <w:pPr>
              <w:jc w:val="center"/>
            </w:pPr>
            <w:r/>
            <w:r>
              <w:rPr>
                <w:rFonts w:ascii="Aptos" w:hAnsi="Aptos"/>
                <w:b/>
                <w:color w:val="BFD4E2"/>
                <w:sz w:val="16"/>
              </w:rPr>
              <w:t>OFFERING PRICE</w:t>
            </w:r>
          </w:p>
          <w:p>
            <w:pPr>
              <w:spacing w:after="0"/>
              <w:jc w:val="center"/>
            </w:pPr>
            <w:r>
              <w:rPr>
                <w:rFonts w:ascii="Aptos" w:hAnsi="Aptos"/>
                <w:b/>
                <w:color w:val="FFFFFF"/>
                <w:sz w:val="30"/>
              </w:rPr>
              <w:t>$460,000</w:t>
            </w:r>
          </w:p>
        </w:tc>
        <w:tc>
          <w:tcPr>
            <w:tcW w:type="dxa" w:w="3384"/>
            <w:shd w:fill="15324A"/>
            <w:tcMar>
              <w:top w:w="160" w:type="dxa"/>
              <w:start w:w="80" w:type="dxa"/>
              <w:bottom w:w="160" w:type="dxa"/>
              <w:end w:w="80" w:type="dxa"/>
            </w:tcMar>
          </w:tcPr>
          <w:p>
            <w:pPr>
              <w:jc w:val="center"/>
            </w:pPr>
            <w:r/>
            <w:r>
              <w:rPr>
                <w:rFonts w:ascii="Aptos" w:hAnsi="Aptos"/>
                <w:b/>
                <w:color w:val="BFD4E2"/>
                <w:sz w:val="16"/>
              </w:rPr>
              <w:t>SITE AREA</w:t>
            </w:r>
          </w:p>
          <w:p>
            <w:pPr>
              <w:spacing w:after="0"/>
              <w:jc w:val="center"/>
            </w:pPr>
            <w:r>
              <w:rPr>
                <w:rFonts w:ascii="Aptos" w:hAnsi="Aptos"/>
                <w:b/>
                <w:color w:val="FFFFFF"/>
                <w:sz w:val="30"/>
              </w:rPr>
              <w:t>1.6 Acres</w:t>
            </w:r>
          </w:p>
        </w:tc>
        <w:tc>
          <w:tcPr>
            <w:tcW w:type="dxa" w:w="3384"/>
            <w:shd w:fill="15324A"/>
            <w:tcMar>
              <w:top w:w="160" w:type="dxa"/>
              <w:start w:w="80" w:type="dxa"/>
              <w:bottom w:w="160" w:type="dxa"/>
              <w:end w:w="80" w:type="dxa"/>
            </w:tcMar>
          </w:tcPr>
          <w:p>
            <w:pPr>
              <w:jc w:val="center"/>
            </w:pPr>
            <w:r/>
            <w:r>
              <w:rPr>
                <w:rFonts w:ascii="Aptos" w:hAnsi="Aptos"/>
                <w:b/>
                <w:color w:val="BFD4E2"/>
                <w:sz w:val="16"/>
              </w:rPr>
              <w:t>IMPROVEMENTS</w:t>
            </w:r>
          </w:p>
          <w:p>
            <w:pPr>
              <w:spacing w:after="0"/>
              <w:jc w:val="center"/>
            </w:pPr>
            <w:r>
              <w:rPr>
                <w:rFonts w:ascii="Aptos" w:hAnsi="Aptos"/>
                <w:b/>
                <w:color w:val="FFFFFF"/>
                <w:sz w:val="30"/>
              </w:rPr>
              <w:t>Two Buildings</w:t>
            </w:r>
          </w:p>
        </w:tc>
      </w:tr>
    </w:tbl>
    <w:p>
      <w:pPr>
        <w:spacing w:before="240" w:after="40" w:line="259" w:lineRule="auto"/>
        <w:jc w:val="center"/>
      </w:pPr>
      <w:r>
        <w:rPr>
          <w:rFonts w:ascii="Aptos" w:hAnsi="Aptos"/>
          <w:b/>
          <w:color w:val="222222"/>
          <w:sz w:val="28"/>
        </w:rPr>
        <w:t>Automotive and Service Property</w:t>
      </w:r>
    </w:p>
    <w:p>
      <w:pPr>
        <w:spacing w:before="0" w:after="240" w:line="259" w:lineRule="auto"/>
        <w:jc w:val="center"/>
      </w:pPr>
      <w:r>
        <w:rPr>
          <w:rFonts w:ascii="Aptos" w:hAnsi="Aptos"/>
          <w:b w:val="0"/>
          <w:color w:val="555555"/>
          <w:sz w:val="20"/>
        </w:rPr>
        <w:t>Sale includes existing equipment. Call broker for equipment list.</w:t>
      </w:r>
    </w:p>
    <w:p>
      <w:pPr>
        <w:spacing w:before="40" w:after="20" w:line="259" w:lineRule="auto"/>
        <w:jc w:val="center"/>
      </w:pPr>
      <w:r>
        <w:rPr>
          <w:rFonts w:ascii="Aptos" w:hAnsi="Aptos"/>
          <w:b/>
          <w:color w:val="15324A"/>
          <w:sz w:val="22"/>
        </w:rPr>
        <w:t>Presented by Venture Commercial Real Estate</w:t>
      </w:r>
    </w:p>
    <w:p>
      <w:pPr>
        <w:spacing w:before="0" w:after="0" w:line="259" w:lineRule="auto"/>
        <w:jc w:val="center"/>
      </w:pPr>
      <w:r>
        <w:rPr>
          <w:rFonts w:ascii="Aptos" w:hAnsi="Aptos"/>
          <w:b/>
          <w:color w:val="1F5D82"/>
          <w:sz w:val="24"/>
        </w:rPr>
        <w:t>Lyle Stratton and Jeff Crumbaker  |  360.718.8787</w:t>
      </w:r>
    </w:p>
    <w:p>
      <w:r>
        <w:br w:type="page"/>
      </w:r>
    </w:p>
    <w:p>
      <w:pPr>
        <w:pStyle w:val="Heading1"/>
        <w:spacing w:before="40" w:after="160"/>
      </w:pPr>
      <w:r>
        <w:rPr>
          <w:rFonts w:ascii="Aptos" w:hAnsi="Aptos"/>
          <w:b/>
          <w:color w:val="15324A"/>
          <w:sz w:val="36"/>
        </w:rPr>
        <w:t>Property Overview</w:t>
      </w:r>
    </w:p>
    <w:p>
      <w:pPr>
        <w:spacing w:before="0" w:after="200" w:line="259" w:lineRule="auto"/>
      </w:pPr>
      <w:r>
        <w:rPr>
          <w:rFonts w:ascii="Aptos" w:hAnsi="Aptos"/>
          <w:b w:val="0"/>
          <w:color w:val="222222"/>
          <w:sz w:val="22"/>
        </w:rPr>
        <w:t>This 1.6-acre commercial property is currently operated as a tire store and includes two separate buildings on two tax lots. The offering combines substantial service-shop space, additional covered improvements, a large paved operating area, and the existing business equipment included with the real estate.</w:t>
      </w:r>
    </w:p>
    <w:tbl>
      <w:tblPr>
        <w:tblW w:type="auto" w:w="0"/>
        <w:tblLayout w:type="fixed"/>
        <w:tblLook w:firstColumn="1" w:firstRow="1" w:lastColumn="0" w:lastRow="0" w:noHBand="0" w:noVBand="1" w:val="04A0"/>
        <w:tblBorders>
          <w:top w:val="single" w:sz="8" w:color="D9D9D9"/>
          <w:left w:val="single" w:sz="8" w:color="D9D9D9"/>
          <w:bottom w:val="single" w:sz="8" w:color="D9D9D9"/>
          <w:right w:val="single" w:sz="8" w:color="D9D9D9"/>
          <w:insideH w:val="single" w:sz="8" w:color="D9D9D9"/>
          <w:insideV w:val="single" w:sz="8" w:color="D9D9D9"/>
        </w:tblBorders>
      </w:tblPr>
      <w:tblGrid>
        <w:gridCol w:w="3528"/>
        <w:gridCol w:w="6696"/>
      </w:tblGrid>
      <w:tr>
        <w:tc>
          <w:tcPr>
            <w:tcW w:type="dxa" w:w="5328"/>
            <w:vAlign w:val="center"/>
            <w:tcMar>
              <w:top w:w="100" w:type="dxa"/>
              <w:start w:w="120" w:type="dxa"/>
              <w:bottom w:w="100" w:type="dxa"/>
              <w:end w:w="120" w:type="dxa"/>
            </w:tcMar>
            <w:shd w:fill="15324A"/>
          </w:tcPr>
          <w:p>
            <w:pPr>
              <w:spacing w:after="0"/>
              <w:jc w:val="left"/>
            </w:pPr>
            <w:r/>
            <w:r>
              <w:rPr>
                <w:rFonts w:ascii="Aptos" w:hAnsi="Aptos"/>
                <w:b/>
                <w:color w:val="FFFFFF"/>
                <w:sz w:val="20"/>
              </w:rPr>
              <w:t>PROPERTY DETAIL</w:t>
            </w:r>
          </w:p>
        </w:tc>
        <w:tc>
          <w:tcPr>
            <w:tcW w:type="dxa" w:w="5328"/>
            <w:vAlign w:val="center"/>
            <w:tcMar>
              <w:top w:w="100" w:type="dxa"/>
              <w:start w:w="120" w:type="dxa"/>
              <w:bottom w:w="100" w:type="dxa"/>
              <w:end w:w="120" w:type="dxa"/>
            </w:tcMar>
            <w:shd w:fill="15324A"/>
          </w:tcPr>
          <w:p>
            <w:pPr>
              <w:spacing w:after="0"/>
              <w:jc w:val="left"/>
            </w:pPr>
            <w:r/>
            <w:r>
              <w:rPr>
                <w:rFonts w:ascii="Aptos" w:hAnsi="Aptos"/>
                <w:b/>
                <w:color w:val="FFFFFF"/>
                <w:sz w:val="20"/>
              </w:rPr>
              <w:t>DESCRIPTION</w:t>
            </w:r>
          </w:p>
        </w:tc>
      </w:tr>
      <w:tr>
        <w:tc>
          <w:tcPr>
            <w:tcW w:type="dxa" w:w="3528"/>
            <w:vAlign w:val="center"/>
            <w:tcMar>
              <w:top w:w="100" w:type="dxa"/>
              <w:start w:w="120" w:type="dxa"/>
              <w:bottom w:w="100" w:type="dxa"/>
              <w:end w:w="120" w:type="dxa"/>
            </w:tcMar>
          </w:tcPr>
          <w:p>
            <w:pPr>
              <w:spacing w:after="0"/>
              <w:jc w:val="left"/>
            </w:pPr>
            <w:r/>
            <w:r>
              <w:rPr>
                <w:rFonts w:ascii="Aptos" w:hAnsi="Aptos"/>
                <w:b/>
                <w:color w:val="15324A"/>
                <w:sz w:val="20"/>
              </w:rPr>
              <w:t>Address</w:t>
            </w:r>
          </w:p>
        </w:tc>
        <w:tc>
          <w:tcPr>
            <w:tcW w:type="dxa" w:w="6696"/>
            <w:vAlign w:val="center"/>
            <w:tcMar>
              <w:top w:w="100" w:type="dxa"/>
              <w:start w:w="120" w:type="dxa"/>
              <w:bottom w:w="100" w:type="dxa"/>
              <w:end w:w="120" w:type="dxa"/>
            </w:tcMar>
          </w:tcPr>
          <w:p>
            <w:pPr>
              <w:spacing w:after="0"/>
              <w:jc w:val="left"/>
            </w:pPr>
            <w:r/>
            <w:r>
              <w:rPr>
                <w:rFonts w:ascii="Aptos" w:hAnsi="Aptos"/>
                <w:b w:val="0"/>
                <w:color w:val="222222"/>
                <w:sz w:val="20"/>
              </w:rPr>
              <w:t>765 E Broadway, Goldendale, Washington</w:t>
            </w:r>
          </w:p>
        </w:tc>
      </w:tr>
      <w:tr>
        <w:tc>
          <w:tcPr>
            <w:tcW w:type="dxa" w:w="3528"/>
            <w:vAlign w:val="center"/>
            <w:tcMar>
              <w:top w:w="100" w:type="dxa"/>
              <w:start w:w="120" w:type="dxa"/>
              <w:bottom w:w="100" w:type="dxa"/>
              <w:end w:w="120" w:type="dxa"/>
            </w:tcMar>
            <w:shd w:fill="F4F7F9"/>
          </w:tcPr>
          <w:p>
            <w:pPr>
              <w:spacing w:after="0"/>
              <w:jc w:val="left"/>
            </w:pPr>
            <w:r/>
            <w:r>
              <w:rPr>
                <w:rFonts w:ascii="Aptos" w:hAnsi="Aptos"/>
                <w:b/>
                <w:color w:val="15324A"/>
                <w:sz w:val="20"/>
              </w:rPr>
              <w:t>Offering Price</w:t>
            </w:r>
          </w:p>
        </w:tc>
        <w:tc>
          <w:tcPr>
            <w:tcW w:type="dxa" w:w="6696"/>
            <w:vAlign w:val="center"/>
            <w:tcMar>
              <w:top w:w="100" w:type="dxa"/>
              <w:start w:w="120" w:type="dxa"/>
              <w:bottom w:w="100" w:type="dxa"/>
              <w:end w:w="120" w:type="dxa"/>
            </w:tcMar>
            <w:shd w:fill="F4F7F9"/>
          </w:tcPr>
          <w:p>
            <w:pPr>
              <w:spacing w:after="0"/>
              <w:jc w:val="left"/>
            </w:pPr>
            <w:r/>
            <w:r>
              <w:rPr>
                <w:rFonts w:ascii="Aptos" w:hAnsi="Aptos"/>
                <w:b w:val="0"/>
                <w:color w:val="222222"/>
                <w:sz w:val="20"/>
              </w:rPr>
              <w:t>$460,000</w:t>
            </w:r>
          </w:p>
        </w:tc>
      </w:tr>
      <w:tr>
        <w:tc>
          <w:tcPr>
            <w:tcW w:type="dxa" w:w="3528"/>
            <w:vAlign w:val="center"/>
            <w:tcMar>
              <w:top w:w="100" w:type="dxa"/>
              <w:start w:w="120" w:type="dxa"/>
              <w:bottom w:w="100" w:type="dxa"/>
              <w:end w:w="120" w:type="dxa"/>
            </w:tcMar>
          </w:tcPr>
          <w:p>
            <w:pPr>
              <w:spacing w:after="0"/>
              <w:jc w:val="left"/>
            </w:pPr>
            <w:r/>
            <w:r>
              <w:rPr>
                <w:rFonts w:ascii="Aptos" w:hAnsi="Aptos"/>
                <w:b/>
                <w:color w:val="15324A"/>
                <w:sz w:val="20"/>
              </w:rPr>
              <w:t>Site Area</w:t>
            </w:r>
          </w:p>
        </w:tc>
        <w:tc>
          <w:tcPr>
            <w:tcW w:type="dxa" w:w="6696"/>
            <w:vAlign w:val="center"/>
            <w:tcMar>
              <w:top w:w="100" w:type="dxa"/>
              <w:start w:w="120" w:type="dxa"/>
              <w:bottom w:w="100" w:type="dxa"/>
              <w:end w:w="120" w:type="dxa"/>
            </w:tcMar>
          </w:tcPr>
          <w:p>
            <w:pPr>
              <w:spacing w:after="0"/>
              <w:jc w:val="left"/>
            </w:pPr>
            <w:r/>
            <w:r>
              <w:rPr>
                <w:rFonts w:ascii="Aptos" w:hAnsi="Aptos"/>
                <w:b w:val="0"/>
                <w:color w:val="222222"/>
                <w:sz w:val="20"/>
              </w:rPr>
              <w:t>Approximately 1.6 acres</w:t>
            </w:r>
          </w:p>
        </w:tc>
      </w:tr>
      <w:tr>
        <w:tc>
          <w:tcPr>
            <w:tcW w:type="dxa" w:w="3528"/>
            <w:vAlign w:val="center"/>
            <w:tcMar>
              <w:top w:w="100" w:type="dxa"/>
              <w:start w:w="120" w:type="dxa"/>
              <w:bottom w:w="100" w:type="dxa"/>
              <w:end w:w="120" w:type="dxa"/>
            </w:tcMar>
            <w:shd w:fill="F4F7F9"/>
          </w:tcPr>
          <w:p>
            <w:pPr>
              <w:spacing w:after="0"/>
              <w:jc w:val="left"/>
            </w:pPr>
            <w:r/>
            <w:r>
              <w:rPr>
                <w:rFonts w:ascii="Aptos" w:hAnsi="Aptos"/>
                <w:b/>
                <w:color w:val="15324A"/>
                <w:sz w:val="20"/>
              </w:rPr>
              <w:t>Building 1</w:t>
            </w:r>
          </w:p>
        </w:tc>
        <w:tc>
          <w:tcPr>
            <w:tcW w:type="dxa" w:w="6696"/>
            <w:vAlign w:val="center"/>
            <w:tcMar>
              <w:top w:w="100" w:type="dxa"/>
              <w:start w:w="120" w:type="dxa"/>
              <w:bottom w:w="100" w:type="dxa"/>
              <w:end w:w="120" w:type="dxa"/>
            </w:tcMar>
            <w:shd w:fill="F4F7F9"/>
          </w:tcPr>
          <w:p>
            <w:pPr>
              <w:spacing w:after="0"/>
              <w:jc w:val="left"/>
            </w:pPr>
            <w:r/>
            <w:r>
              <w:rPr>
                <w:rFonts w:ascii="Aptos" w:hAnsi="Aptos"/>
                <w:b w:val="0"/>
                <w:color w:val="222222"/>
                <w:sz w:val="20"/>
              </w:rPr>
              <w:t>Approximately 1,920 square feet</w:t>
            </w:r>
          </w:p>
        </w:tc>
      </w:tr>
      <w:tr>
        <w:tc>
          <w:tcPr>
            <w:tcW w:type="dxa" w:w="3528"/>
            <w:vAlign w:val="center"/>
            <w:tcMar>
              <w:top w:w="100" w:type="dxa"/>
              <w:start w:w="120" w:type="dxa"/>
              <w:bottom w:w="100" w:type="dxa"/>
              <w:end w:w="120" w:type="dxa"/>
            </w:tcMar>
          </w:tcPr>
          <w:p>
            <w:pPr>
              <w:spacing w:after="0"/>
              <w:jc w:val="left"/>
            </w:pPr>
            <w:r/>
            <w:r>
              <w:rPr>
                <w:rFonts w:ascii="Aptos" w:hAnsi="Aptos"/>
                <w:b/>
                <w:color w:val="15324A"/>
                <w:sz w:val="20"/>
              </w:rPr>
              <w:t>Building 2</w:t>
            </w:r>
          </w:p>
        </w:tc>
        <w:tc>
          <w:tcPr>
            <w:tcW w:type="dxa" w:w="6696"/>
            <w:vAlign w:val="center"/>
            <w:tcMar>
              <w:top w:w="100" w:type="dxa"/>
              <w:start w:w="120" w:type="dxa"/>
              <w:bottom w:w="100" w:type="dxa"/>
              <w:end w:w="120" w:type="dxa"/>
            </w:tcMar>
          </w:tcPr>
          <w:p>
            <w:pPr>
              <w:spacing w:after="0"/>
              <w:jc w:val="left"/>
            </w:pPr>
            <w:r/>
            <w:r>
              <w:rPr>
                <w:rFonts w:ascii="Aptos" w:hAnsi="Aptos"/>
                <w:b w:val="0"/>
                <w:color w:val="222222"/>
                <w:sz w:val="20"/>
              </w:rPr>
              <w:t>Approximately 7,058 square feet</w:t>
            </w:r>
          </w:p>
        </w:tc>
      </w:tr>
      <w:tr>
        <w:tc>
          <w:tcPr>
            <w:tcW w:type="dxa" w:w="3528"/>
            <w:vAlign w:val="center"/>
            <w:tcMar>
              <w:top w:w="100" w:type="dxa"/>
              <w:start w:w="120" w:type="dxa"/>
              <w:bottom w:w="100" w:type="dxa"/>
              <w:end w:w="120" w:type="dxa"/>
            </w:tcMar>
            <w:shd w:fill="F4F7F9"/>
          </w:tcPr>
          <w:p>
            <w:pPr>
              <w:spacing w:after="0"/>
              <w:jc w:val="left"/>
            </w:pPr>
            <w:r/>
            <w:r>
              <w:rPr>
                <w:rFonts w:ascii="Aptos" w:hAnsi="Aptos"/>
                <w:b/>
                <w:color w:val="15324A"/>
                <w:sz w:val="20"/>
              </w:rPr>
              <w:t>Attached Pole Building</w:t>
            </w:r>
          </w:p>
        </w:tc>
        <w:tc>
          <w:tcPr>
            <w:tcW w:type="dxa" w:w="6696"/>
            <w:vAlign w:val="center"/>
            <w:tcMar>
              <w:top w:w="100" w:type="dxa"/>
              <w:start w:w="120" w:type="dxa"/>
              <w:bottom w:w="100" w:type="dxa"/>
              <w:end w:w="120" w:type="dxa"/>
            </w:tcMar>
            <w:shd w:fill="F4F7F9"/>
          </w:tcPr>
          <w:p>
            <w:pPr>
              <w:spacing w:after="0"/>
              <w:jc w:val="left"/>
            </w:pPr>
            <w:r/>
            <w:r>
              <w:rPr>
                <w:rFonts w:ascii="Aptos" w:hAnsi="Aptos"/>
                <w:b w:val="0"/>
                <w:color w:val="222222"/>
                <w:sz w:val="20"/>
              </w:rPr>
              <w:t>Approximately 1,160 square feet</w:t>
            </w:r>
          </w:p>
        </w:tc>
      </w:tr>
      <w:tr>
        <w:tc>
          <w:tcPr>
            <w:tcW w:type="dxa" w:w="3528"/>
            <w:vAlign w:val="center"/>
            <w:tcMar>
              <w:top w:w="100" w:type="dxa"/>
              <w:start w:w="120" w:type="dxa"/>
              <w:bottom w:w="100" w:type="dxa"/>
              <w:end w:w="120" w:type="dxa"/>
            </w:tcMar>
          </w:tcPr>
          <w:p>
            <w:pPr>
              <w:spacing w:after="0"/>
              <w:jc w:val="left"/>
            </w:pPr>
            <w:r/>
            <w:r>
              <w:rPr>
                <w:rFonts w:ascii="Aptos" w:hAnsi="Aptos"/>
                <w:b/>
                <w:color w:val="15324A"/>
                <w:sz w:val="20"/>
              </w:rPr>
              <w:t>Attached Canopy</w:t>
            </w:r>
          </w:p>
        </w:tc>
        <w:tc>
          <w:tcPr>
            <w:tcW w:type="dxa" w:w="6696"/>
            <w:vAlign w:val="center"/>
            <w:tcMar>
              <w:top w:w="100" w:type="dxa"/>
              <w:start w:w="120" w:type="dxa"/>
              <w:bottom w:w="100" w:type="dxa"/>
              <w:end w:w="120" w:type="dxa"/>
            </w:tcMar>
          </w:tcPr>
          <w:p>
            <w:pPr>
              <w:spacing w:after="0"/>
              <w:jc w:val="left"/>
            </w:pPr>
            <w:r/>
            <w:r>
              <w:rPr>
                <w:rFonts w:ascii="Aptos" w:hAnsi="Aptos"/>
                <w:b w:val="0"/>
                <w:color w:val="222222"/>
                <w:sz w:val="20"/>
              </w:rPr>
              <w:t>Approximately 720 square feet</w:t>
            </w:r>
          </w:p>
        </w:tc>
      </w:tr>
      <w:tr>
        <w:tc>
          <w:tcPr>
            <w:tcW w:type="dxa" w:w="3528"/>
            <w:vAlign w:val="center"/>
            <w:tcMar>
              <w:top w:w="100" w:type="dxa"/>
              <w:start w:w="120" w:type="dxa"/>
              <w:bottom w:w="100" w:type="dxa"/>
              <w:end w:w="120" w:type="dxa"/>
            </w:tcMar>
            <w:shd w:fill="F4F7F9"/>
          </w:tcPr>
          <w:p>
            <w:pPr>
              <w:spacing w:after="0"/>
              <w:jc w:val="left"/>
            </w:pPr>
            <w:r/>
            <w:r>
              <w:rPr>
                <w:rFonts w:ascii="Aptos" w:hAnsi="Aptos"/>
                <w:b/>
                <w:color w:val="15324A"/>
                <w:sz w:val="20"/>
              </w:rPr>
              <w:t>Tax Lots</w:t>
            </w:r>
          </w:p>
        </w:tc>
        <w:tc>
          <w:tcPr>
            <w:tcW w:type="dxa" w:w="6696"/>
            <w:vAlign w:val="center"/>
            <w:tcMar>
              <w:top w:w="100" w:type="dxa"/>
              <w:start w:w="120" w:type="dxa"/>
              <w:bottom w:w="100" w:type="dxa"/>
              <w:end w:w="120" w:type="dxa"/>
            </w:tcMar>
            <w:shd w:fill="F4F7F9"/>
          </w:tcPr>
          <w:p>
            <w:pPr>
              <w:spacing w:after="0"/>
              <w:jc w:val="left"/>
            </w:pPr>
            <w:r/>
            <w:r>
              <w:rPr>
                <w:rFonts w:ascii="Aptos" w:hAnsi="Aptos"/>
                <w:b w:val="0"/>
                <w:color w:val="222222"/>
                <w:sz w:val="20"/>
              </w:rPr>
              <w:t>Two separate tax lots</w:t>
            </w:r>
          </w:p>
        </w:tc>
      </w:tr>
      <w:tr>
        <w:tc>
          <w:tcPr>
            <w:tcW w:type="dxa" w:w="3528"/>
            <w:vAlign w:val="center"/>
            <w:tcMar>
              <w:top w:w="100" w:type="dxa"/>
              <w:start w:w="120" w:type="dxa"/>
              <w:bottom w:w="100" w:type="dxa"/>
              <w:end w:w="120" w:type="dxa"/>
            </w:tcMar>
          </w:tcPr>
          <w:p>
            <w:pPr>
              <w:spacing w:after="0"/>
              <w:jc w:val="left"/>
            </w:pPr>
            <w:r/>
            <w:r>
              <w:rPr>
                <w:rFonts w:ascii="Aptos" w:hAnsi="Aptos"/>
                <w:b/>
                <w:color w:val="15324A"/>
                <w:sz w:val="20"/>
              </w:rPr>
              <w:t>Current Use</w:t>
            </w:r>
          </w:p>
        </w:tc>
        <w:tc>
          <w:tcPr>
            <w:tcW w:type="dxa" w:w="6696"/>
            <w:vAlign w:val="center"/>
            <w:tcMar>
              <w:top w:w="100" w:type="dxa"/>
              <w:start w:w="120" w:type="dxa"/>
              <w:bottom w:w="100" w:type="dxa"/>
              <w:end w:w="120" w:type="dxa"/>
            </w:tcMar>
          </w:tcPr>
          <w:p>
            <w:pPr>
              <w:spacing w:after="0"/>
              <w:jc w:val="left"/>
            </w:pPr>
            <w:r/>
            <w:r>
              <w:rPr>
                <w:rFonts w:ascii="Aptos" w:hAnsi="Aptos"/>
                <w:b w:val="0"/>
                <w:color w:val="222222"/>
                <w:sz w:val="20"/>
              </w:rPr>
              <w:t>Tire store and automotive service</w:t>
            </w:r>
          </w:p>
        </w:tc>
      </w:tr>
      <w:tr>
        <w:tc>
          <w:tcPr>
            <w:tcW w:type="dxa" w:w="3528"/>
            <w:vAlign w:val="center"/>
            <w:tcMar>
              <w:top w:w="100" w:type="dxa"/>
              <w:start w:w="120" w:type="dxa"/>
              <w:bottom w:w="100" w:type="dxa"/>
              <w:end w:w="120" w:type="dxa"/>
            </w:tcMar>
            <w:shd w:fill="F4F7F9"/>
          </w:tcPr>
          <w:p>
            <w:pPr>
              <w:spacing w:after="0"/>
              <w:jc w:val="left"/>
            </w:pPr>
            <w:r/>
            <w:r>
              <w:rPr>
                <w:rFonts w:ascii="Aptos" w:hAnsi="Aptos"/>
                <w:b/>
                <w:color w:val="15324A"/>
                <w:sz w:val="20"/>
              </w:rPr>
              <w:t>Equipment</w:t>
            </w:r>
          </w:p>
        </w:tc>
        <w:tc>
          <w:tcPr>
            <w:tcW w:type="dxa" w:w="6696"/>
            <w:vAlign w:val="center"/>
            <w:tcMar>
              <w:top w:w="100" w:type="dxa"/>
              <w:start w:w="120" w:type="dxa"/>
              <w:bottom w:w="100" w:type="dxa"/>
              <w:end w:w="120" w:type="dxa"/>
            </w:tcMar>
            <w:shd w:fill="F4F7F9"/>
          </w:tcPr>
          <w:p>
            <w:pPr>
              <w:spacing w:after="0"/>
              <w:jc w:val="left"/>
            </w:pPr>
            <w:r/>
            <w:r>
              <w:rPr>
                <w:rFonts w:ascii="Aptos" w:hAnsi="Aptos"/>
                <w:b w:val="0"/>
                <w:color w:val="222222"/>
                <w:sz w:val="20"/>
              </w:rPr>
              <w:t>Existing equipment included; call broker for list</w:t>
            </w:r>
          </w:p>
        </w:tc>
      </w:tr>
    </w:tbl>
    <w:p>
      <w:pPr>
        <w:spacing w:before="280" w:after="120" w:line="259" w:lineRule="auto"/>
      </w:pPr>
      <w:r>
        <w:rPr>
          <w:rFonts w:ascii="Aptos" w:hAnsi="Aptos"/>
          <w:b/>
          <w:color w:val="15324A"/>
          <w:sz w:val="32"/>
        </w:rPr>
        <w:t>Property Highlights</w:t>
      </w:r>
    </w:p>
    <w:p>
      <w:pPr>
        <w:spacing w:after="60"/>
        <w:ind w:left="259" w:hanging="202"/>
      </w:pPr>
      <w:r>
        <w:rPr>
          <w:rFonts w:ascii="Aptos" w:hAnsi="Aptos"/>
          <w:b/>
          <w:color w:val="B7893D"/>
          <w:sz w:val="20"/>
        </w:rPr>
        <w:t xml:space="preserve">• </w:t>
      </w:r>
      <w:r>
        <w:rPr>
          <w:rFonts w:ascii="Aptos" w:hAnsi="Aptos"/>
          <w:b w:val="0"/>
          <w:color w:val="222222"/>
          <w:sz w:val="21"/>
        </w:rPr>
        <w:t>Established automotive-service configuration</w:t>
      </w:r>
    </w:p>
    <w:p>
      <w:pPr>
        <w:spacing w:after="60"/>
        <w:ind w:left="259" w:hanging="202"/>
      </w:pPr>
      <w:r>
        <w:rPr>
          <w:rFonts w:ascii="Aptos" w:hAnsi="Aptos"/>
          <w:b/>
          <w:color w:val="B7893D"/>
          <w:sz w:val="20"/>
        </w:rPr>
        <w:t xml:space="preserve">• </w:t>
      </w:r>
      <w:r>
        <w:rPr>
          <w:rFonts w:ascii="Aptos" w:hAnsi="Aptos"/>
          <w:b w:val="0"/>
          <w:color w:val="222222"/>
          <w:sz w:val="21"/>
        </w:rPr>
        <w:t>Multiple shop bays and vehicle-lift capacity</w:t>
      </w:r>
    </w:p>
    <w:p>
      <w:pPr>
        <w:spacing w:after="60"/>
        <w:ind w:left="259" w:hanging="202"/>
      </w:pPr>
      <w:r>
        <w:rPr>
          <w:rFonts w:ascii="Aptos" w:hAnsi="Aptos"/>
          <w:b/>
          <w:color w:val="B7893D"/>
          <w:sz w:val="20"/>
        </w:rPr>
        <w:t xml:space="preserve">• </w:t>
      </w:r>
      <w:r>
        <w:rPr>
          <w:rFonts w:ascii="Aptos" w:hAnsi="Aptos"/>
          <w:b w:val="0"/>
          <w:color w:val="222222"/>
          <w:sz w:val="21"/>
        </w:rPr>
        <w:t>Office and customer reception area</w:t>
      </w:r>
    </w:p>
    <w:p>
      <w:pPr>
        <w:spacing w:after="60"/>
        <w:ind w:left="259" w:hanging="202"/>
      </w:pPr>
      <w:r>
        <w:rPr>
          <w:rFonts w:ascii="Aptos" w:hAnsi="Aptos"/>
          <w:b/>
          <w:color w:val="B7893D"/>
          <w:sz w:val="20"/>
        </w:rPr>
        <w:t xml:space="preserve">• </w:t>
      </w:r>
      <w:r>
        <w:rPr>
          <w:rFonts w:ascii="Aptos" w:hAnsi="Aptos"/>
          <w:b w:val="0"/>
          <w:color w:val="222222"/>
          <w:sz w:val="21"/>
        </w:rPr>
        <w:t>Large paved yard with maneuvering and parking area</w:t>
      </w:r>
    </w:p>
    <w:p>
      <w:pPr>
        <w:spacing w:after="60"/>
        <w:ind w:left="259" w:hanging="202"/>
      </w:pPr>
      <w:r>
        <w:rPr>
          <w:rFonts w:ascii="Aptos" w:hAnsi="Aptos"/>
          <w:b/>
          <w:color w:val="B7893D"/>
          <w:sz w:val="20"/>
        </w:rPr>
        <w:t xml:space="preserve">• </w:t>
      </w:r>
      <w:r>
        <w:rPr>
          <w:rFonts w:ascii="Aptos" w:hAnsi="Aptos"/>
          <w:b w:val="0"/>
          <w:color w:val="222222"/>
          <w:sz w:val="21"/>
        </w:rPr>
        <w:t>Two-building layout provides operating flexibility</w:t>
      </w:r>
    </w:p>
    <w:p>
      <w:pPr>
        <w:spacing w:after="60"/>
        <w:ind w:left="259" w:hanging="202"/>
      </w:pPr>
      <w:r>
        <w:rPr>
          <w:rFonts w:ascii="Aptos" w:hAnsi="Aptos"/>
          <w:b/>
          <w:color w:val="B7893D"/>
          <w:sz w:val="20"/>
        </w:rPr>
        <w:t xml:space="preserve">• </w:t>
      </w:r>
      <w:r>
        <w:rPr>
          <w:rFonts w:ascii="Aptos" w:hAnsi="Aptos"/>
          <w:b w:val="0"/>
          <w:color w:val="222222"/>
          <w:sz w:val="21"/>
        </w:rPr>
        <w:t>Equipment package supports continued tire and service use</w:t>
      </w:r>
    </w:p>
    <w:p>
      <w:r>
        <w:br w:type="page"/>
      </w:r>
    </w:p>
    <w:p>
      <w:pPr>
        <w:pStyle w:val="Heading1"/>
        <w:spacing w:before="40" w:after="160"/>
      </w:pPr>
      <w:r>
        <w:rPr>
          <w:rFonts w:ascii="Aptos" w:hAnsi="Aptos"/>
          <w:b/>
          <w:color w:val="15324A"/>
          <w:sz w:val="36"/>
        </w:rPr>
        <w:t>Exterior Improvements</w:t>
      </w:r>
    </w:p>
    <w:p>
      <w:pPr>
        <w:spacing w:before="0" w:after="160" w:line="259" w:lineRule="auto"/>
      </w:pPr>
      <w:r>
        <w:rPr>
          <w:rFonts w:ascii="Aptos" w:hAnsi="Aptos"/>
          <w:b w:val="0"/>
          <w:color w:val="222222"/>
          <w:sz w:val="21"/>
        </w:rPr>
        <w:t>The property offers two separate buildings, a broad paved operating area, multiple overhead doors, and attached covered improvements suited to automotive or service-commercial operations.</w:t>
      </w:r>
    </w:p>
    <w:tbl>
      <w:tblPr>
        <w:tblW w:type="auto" w:w="0"/>
        <w:tblLayout w:type="fixed"/>
        <w:tblLook w:firstColumn="1" w:firstRow="1" w:lastColumn="0" w:lastRow="0" w:noHBand="0" w:noVBand="1" w:val="04A0"/>
        <w:tblBorders>
          <w:top w:val="single" w:sz="0" w:color="FFFFFF"/>
          <w:left w:val="single" w:sz="0" w:color="FFFFFF"/>
          <w:bottom w:val="single" w:sz="0" w:color="FFFFFF"/>
          <w:right w:val="single" w:sz="0" w:color="FFFFFF"/>
          <w:insideH w:val="single" w:sz="0" w:color="FFFFFF"/>
          <w:insideV w:val="single" w:sz="0" w:color="FFFFFF"/>
        </w:tblBorders>
      </w:tblPr>
      <w:tblGrid>
        <w:gridCol w:w="5328"/>
        <w:gridCol w:w="5328"/>
      </w:tblGrid>
      <w:tr>
        <w:tc>
          <w:tcPr>
            <w:tcW w:type="dxa" w:w="5328"/>
            <w:tcMar>
              <w:top w:w="60" w:type="dxa"/>
              <w:start w:w="60" w:type="dxa"/>
              <w:bottom w:w="60" w:type="dxa"/>
              <w:end w:w="60" w:type="dxa"/>
            </w:tcMar>
          </w:tcPr>
          <w:p>
            <w:pPr>
              <w:jc w:val="center"/>
            </w:pPr>
            <w:r/>
            <w:r>
              <w:drawing>
                <wp:inline xmlns:a="http://schemas.openxmlformats.org/drawingml/2006/main" xmlns:pic="http://schemas.openxmlformats.org/drawingml/2006/picture">
                  <wp:extent cx="3108960" cy="2148840"/>
                  <wp:docPr id="2" name="Picture 2"/>
                  <wp:cNvGraphicFramePr>
                    <a:graphicFrameLocks noChangeAspect="1"/>
                  </wp:cNvGraphicFramePr>
                  <a:graphic>
                    <a:graphicData uri="http://schemas.openxmlformats.org/drawingml/2006/picture">
                      <pic:pic>
                        <pic:nvPicPr>
                          <pic:cNvPr id="0" name="g0.jpg"/>
                          <pic:cNvPicPr/>
                        </pic:nvPicPr>
                        <pic:blipFill>
                          <a:blip r:embed="rId11"/>
                          <a:stretch>
                            <a:fillRect/>
                          </a:stretch>
                        </pic:blipFill>
                        <pic:spPr>
                          <a:xfrm>
                            <a:off x="0" y="0"/>
                            <a:ext cx="3108960" cy="2148840"/>
                          </a:xfrm>
                          <a:prstGeom prst="rect"/>
                        </pic:spPr>
                      </pic:pic>
                    </a:graphicData>
                  </a:graphic>
                </wp:inline>
              </w:drawing>
            </w:r>
          </w:p>
          <w:p>
            <w:pPr>
              <w:spacing w:after="60"/>
              <w:jc w:val="center"/>
            </w:pPr>
            <w:r>
              <w:rPr>
                <w:rFonts w:ascii="Aptos" w:hAnsi="Aptos"/>
                <w:b/>
                <w:color w:val="15324A"/>
                <w:sz w:val="18"/>
              </w:rPr>
              <w:t>Main service building</w:t>
            </w:r>
          </w:p>
        </w:tc>
        <w:tc>
          <w:tcPr>
            <w:tcW w:type="dxa" w:w="5328"/>
            <w:tcMar>
              <w:top w:w="60" w:type="dxa"/>
              <w:start w:w="60" w:type="dxa"/>
              <w:bottom w:w="60" w:type="dxa"/>
              <w:end w:w="60" w:type="dxa"/>
            </w:tcMar>
          </w:tcPr>
          <w:p>
            <w:pPr>
              <w:jc w:val="center"/>
            </w:pPr>
            <w:r/>
            <w:r>
              <w:drawing>
                <wp:inline xmlns:a="http://schemas.openxmlformats.org/drawingml/2006/main" xmlns:pic="http://schemas.openxmlformats.org/drawingml/2006/picture">
                  <wp:extent cx="3108960" cy="2148840"/>
                  <wp:docPr id="3" name="Picture 3"/>
                  <wp:cNvGraphicFramePr>
                    <a:graphicFrameLocks noChangeAspect="1"/>
                  </wp:cNvGraphicFramePr>
                  <a:graphic>
                    <a:graphicData uri="http://schemas.openxmlformats.org/drawingml/2006/picture">
                      <pic:pic>
                        <pic:nvPicPr>
                          <pic:cNvPr id="0" name="g1.jpg"/>
                          <pic:cNvPicPr/>
                        </pic:nvPicPr>
                        <pic:blipFill>
                          <a:blip r:embed="rId12"/>
                          <a:stretch>
                            <a:fillRect/>
                          </a:stretch>
                        </pic:blipFill>
                        <pic:spPr>
                          <a:xfrm>
                            <a:off x="0" y="0"/>
                            <a:ext cx="3108960" cy="2148840"/>
                          </a:xfrm>
                          <a:prstGeom prst="rect"/>
                        </pic:spPr>
                      </pic:pic>
                    </a:graphicData>
                  </a:graphic>
                </wp:inline>
              </w:drawing>
            </w:r>
          </w:p>
          <w:p>
            <w:pPr>
              <w:spacing w:after="60"/>
              <w:jc w:val="center"/>
            </w:pPr>
            <w:r>
              <w:rPr>
                <w:rFonts w:ascii="Aptos" w:hAnsi="Aptos"/>
                <w:b/>
                <w:color w:val="15324A"/>
                <w:sz w:val="18"/>
              </w:rPr>
              <w:t>Separate shop building</w:t>
            </w:r>
          </w:p>
        </w:tc>
      </w:tr>
      <w:tr>
        <w:tc>
          <w:tcPr>
            <w:tcW w:type="dxa" w:w="5328"/>
            <w:tcMar>
              <w:top w:w="60" w:type="dxa"/>
              <w:start w:w="60" w:type="dxa"/>
              <w:bottom w:w="60" w:type="dxa"/>
              <w:end w:w="60" w:type="dxa"/>
            </w:tcMar>
          </w:tcPr>
          <w:p>
            <w:pPr>
              <w:jc w:val="center"/>
            </w:pPr>
            <w:r/>
            <w:r>
              <w:drawing>
                <wp:inline xmlns:a="http://schemas.openxmlformats.org/drawingml/2006/main" xmlns:pic="http://schemas.openxmlformats.org/drawingml/2006/picture">
                  <wp:extent cx="3108960" cy="2148840"/>
                  <wp:docPr id="4" name="Picture 4"/>
                  <wp:cNvGraphicFramePr>
                    <a:graphicFrameLocks noChangeAspect="1"/>
                  </wp:cNvGraphicFramePr>
                  <a:graphic>
                    <a:graphicData uri="http://schemas.openxmlformats.org/drawingml/2006/picture">
                      <pic:pic>
                        <pic:nvPicPr>
                          <pic:cNvPr id="0" name="g2.jpg"/>
                          <pic:cNvPicPr/>
                        </pic:nvPicPr>
                        <pic:blipFill>
                          <a:blip r:embed="rId13"/>
                          <a:stretch>
                            <a:fillRect/>
                          </a:stretch>
                        </pic:blipFill>
                        <pic:spPr>
                          <a:xfrm>
                            <a:off x="0" y="0"/>
                            <a:ext cx="3108960" cy="2148840"/>
                          </a:xfrm>
                          <a:prstGeom prst="rect"/>
                        </pic:spPr>
                      </pic:pic>
                    </a:graphicData>
                  </a:graphic>
                </wp:inline>
              </w:drawing>
            </w:r>
          </w:p>
          <w:p>
            <w:pPr>
              <w:spacing w:after="60"/>
              <w:jc w:val="center"/>
            </w:pPr>
            <w:r>
              <w:rPr>
                <w:rFonts w:ascii="Aptos" w:hAnsi="Aptos"/>
                <w:b/>
                <w:color w:val="15324A"/>
                <w:sz w:val="18"/>
              </w:rPr>
              <w:t>Paved operating area</w:t>
            </w:r>
          </w:p>
        </w:tc>
        <w:tc>
          <w:tcPr>
            <w:tcW w:type="dxa" w:w="5328"/>
            <w:tcMar>
              <w:top w:w="60" w:type="dxa"/>
              <w:start w:w="60" w:type="dxa"/>
              <w:bottom w:w="60" w:type="dxa"/>
              <w:end w:w="60" w:type="dxa"/>
            </w:tcMar>
          </w:tcPr>
          <w:p>
            <w:pPr>
              <w:jc w:val="center"/>
            </w:pPr>
            <w:r/>
            <w:r>
              <w:drawing>
                <wp:inline xmlns:a="http://schemas.openxmlformats.org/drawingml/2006/main" xmlns:pic="http://schemas.openxmlformats.org/drawingml/2006/picture">
                  <wp:extent cx="3108960" cy="2148840"/>
                  <wp:docPr id="5" name="Picture 5"/>
                  <wp:cNvGraphicFramePr>
                    <a:graphicFrameLocks noChangeAspect="1"/>
                  </wp:cNvGraphicFramePr>
                  <a:graphic>
                    <a:graphicData uri="http://schemas.openxmlformats.org/drawingml/2006/picture">
                      <pic:pic>
                        <pic:nvPicPr>
                          <pic:cNvPr id="0" name="g3.jpg"/>
                          <pic:cNvPicPr/>
                        </pic:nvPicPr>
                        <pic:blipFill>
                          <a:blip r:embed="rId14"/>
                          <a:stretch>
                            <a:fillRect/>
                          </a:stretch>
                        </pic:blipFill>
                        <pic:spPr>
                          <a:xfrm>
                            <a:off x="0" y="0"/>
                            <a:ext cx="3108960" cy="2148840"/>
                          </a:xfrm>
                          <a:prstGeom prst="rect"/>
                        </pic:spPr>
                      </pic:pic>
                    </a:graphicData>
                  </a:graphic>
                </wp:inline>
              </w:drawing>
            </w:r>
          </w:p>
          <w:p>
            <w:pPr>
              <w:spacing w:after="60"/>
              <w:jc w:val="center"/>
            </w:pPr>
            <w:r>
              <w:rPr>
                <w:rFonts w:ascii="Aptos" w:hAnsi="Aptos"/>
                <w:b/>
                <w:color w:val="15324A"/>
                <w:sz w:val="18"/>
              </w:rPr>
              <w:t>Customer reception</w:t>
            </w:r>
          </w:p>
        </w:tc>
      </w:tr>
    </w:tbl>
    <w:p>
      <w:pPr>
        <w:spacing w:before="160" w:after="0" w:line="259" w:lineRule="auto"/>
      </w:pPr>
      <w:r>
        <w:rPr>
          <w:rFonts w:ascii="Aptos" w:hAnsi="Aptos"/>
          <w:b w:val="0"/>
          <w:color w:val="555555"/>
          <w:sz w:val="20"/>
        </w:rPr>
        <w:t>The approximately 1.6-acre site provides room for customer parking, service circulation, equipment staging, and outdoor operational needs, subject to applicable land-use requirements.</w:t>
      </w:r>
    </w:p>
    <w:p>
      <w:r>
        <w:br w:type="page"/>
      </w:r>
    </w:p>
    <w:p>
      <w:pPr>
        <w:pStyle w:val="Heading1"/>
        <w:spacing w:before="40" w:after="160"/>
      </w:pPr>
      <w:r>
        <w:rPr>
          <w:rFonts w:ascii="Aptos" w:hAnsi="Aptos"/>
          <w:b/>
          <w:color w:val="15324A"/>
          <w:sz w:val="36"/>
        </w:rPr>
        <w:t>Automotive Service Areas</w:t>
      </w:r>
    </w:p>
    <w:tbl>
      <w:tblPr>
        <w:tblW w:type="auto" w:w="0"/>
        <w:tblLayout w:type="fixed"/>
        <w:tblLook w:firstColumn="1" w:firstRow="1" w:lastColumn="0" w:lastRow="0" w:noHBand="0" w:noVBand="1" w:val="04A0"/>
        <w:tblBorders>
          <w:top w:val="single" w:sz="0" w:color="FFFFFF"/>
          <w:left w:val="single" w:sz="0" w:color="FFFFFF"/>
          <w:bottom w:val="single" w:sz="0" w:color="FFFFFF"/>
          <w:right w:val="single" w:sz="0" w:color="FFFFFF"/>
          <w:insideH w:val="single" w:sz="0" w:color="FFFFFF"/>
          <w:insideV w:val="single" w:sz="0" w:color="FFFFFF"/>
        </w:tblBorders>
      </w:tblPr>
      <w:tblGrid>
        <w:gridCol w:w="5328"/>
        <w:gridCol w:w="5328"/>
      </w:tblGrid>
      <w:tr>
        <w:tc>
          <w:tcPr>
            <w:tcW w:type="dxa" w:w="5328"/>
            <w:tcMar>
              <w:top w:w="50" w:type="dxa"/>
              <w:start w:w="50" w:type="dxa"/>
              <w:bottom w:w="50" w:type="dxa"/>
              <w:end w:w="50" w:type="dxa"/>
            </w:tcMar>
          </w:tcPr>
          <w:p>
            <w:pPr>
              <w:jc w:val="center"/>
            </w:pPr>
            <w:r/>
            <w:r>
              <w:drawing>
                <wp:inline xmlns:a="http://schemas.openxmlformats.org/drawingml/2006/main" xmlns:pic="http://schemas.openxmlformats.org/drawingml/2006/picture">
                  <wp:extent cx="3108960" cy="1965960"/>
                  <wp:docPr id="6" name="Picture 6"/>
                  <wp:cNvGraphicFramePr>
                    <a:graphicFrameLocks noChangeAspect="1"/>
                  </wp:cNvGraphicFramePr>
                  <a:graphic>
                    <a:graphicData uri="http://schemas.openxmlformats.org/drawingml/2006/picture">
                      <pic:pic>
                        <pic:nvPicPr>
                          <pic:cNvPr id="0" name="i0.jpg"/>
                          <pic:cNvPicPr/>
                        </pic:nvPicPr>
                        <pic:blipFill>
                          <a:blip r:embed="rId15"/>
                          <a:stretch>
                            <a:fillRect/>
                          </a:stretch>
                        </pic:blipFill>
                        <pic:spPr>
                          <a:xfrm>
                            <a:off x="0" y="0"/>
                            <a:ext cx="3108960" cy="1965960"/>
                          </a:xfrm>
                          <a:prstGeom prst="rect"/>
                        </pic:spPr>
                      </pic:pic>
                    </a:graphicData>
                  </a:graphic>
                </wp:inline>
              </w:drawing>
            </w:r>
          </w:p>
          <w:p>
            <w:pPr>
              <w:spacing w:after="60"/>
              <w:jc w:val="center"/>
            </w:pPr>
            <w:r>
              <w:rPr>
                <w:rFonts w:ascii="Aptos" w:hAnsi="Aptos"/>
                <w:b/>
                <w:color w:val="15324A"/>
                <w:sz w:val="18"/>
              </w:rPr>
              <w:t>Service bay</w:t>
            </w:r>
          </w:p>
        </w:tc>
        <w:tc>
          <w:tcPr>
            <w:tcW w:type="dxa" w:w="5328"/>
            <w:tcMar>
              <w:top w:w="50" w:type="dxa"/>
              <w:start w:w="50" w:type="dxa"/>
              <w:bottom w:w="50" w:type="dxa"/>
              <w:end w:w="50" w:type="dxa"/>
            </w:tcMar>
          </w:tcPr>
          <w:p>
            <w:pPr>
              <w:jc w:val="center"/>
            </w:pPr>
            <w:r/>
            <w:r>
              <w:drawing>
                <wp:inline xmlns:a="http://schemas.openxmlformats.org/drawingml/2006/main" xmlns:pic="http://schemas.openxmlformats.org/drawingml/2006/picture">
                  <wp:extent cx="3108960" cy="1965960"/>
                  <wp:docPr id="7" name="Picture 7"/>
                  <wp:cNvGraphicFramePr>
                    <a:graphicFrameLocks noChangeAspect="1"/>
                  </wp:cNvGraphicFramePr>
                  <a:graphic>
                    <a:graphicData uri="http://schemas.openxmlformats.org/drawingml/2006/picture">
                      <pic:pic>
                        <pic:nvPicPr>
                          <pic:cNvPr id="0" name="i1.jpg"/>
                          <pic:cNvPicPr/>
                        </pic:nvPicPr>
                        <pic:blipFill>
                          <a:blip r:embed="rId16"/>
                          <a:stretch>
                            <a:fillRect/>
                          </a:stretch>
                        </pic:blipFill>
                        <pic:spPr>
                          <a:xfrm>
                            <a:off x="0" y="0"/>
                            <a:ext cx="3108960" cy="1965960"/>
                          </a:xfrm>
                          <a:prstGeom prst="rect"/>
                        </pic:spPr>
                      </pic:pic>
                    </a:graphicData>
                  </a:graphic>
                </wp:inline>
              </w:drawing>
            </w:r>
          </w:p>
          <w:p>
            <w:pPr>
              <w:spacing w:after="60"/>
              <w:jc w:val="center"/>
            </w:pPr>
            <w:r>
              <w:rPr>
                <w:rFonts w:ascii="Aptos" w:hAnsi="Aptos"/>
                <w:b/>
                <w:color w:val="15324A"/>
                <w:sz w:val="18"/>
              </w:rPr>
              <w:t>Vehicle lift</w:t>
            </w:r>
          </w:p>
        </w:tc>
      </w:tr>
      <w:tr>
        <w:tc>
          <w:tcPr>
            <w:tcW w:type="dxa" w:w="5328"/>
            <w:tcMar>
              <w:top w:w="50" w:type="dxa"/>
              <w:start w:w="50" w:type="dxa"/>
              <w:bottom w:w="50" w:type="dxa"/>
              <w:end w:w="50" w:type="dxa"/>
            </w:tcMar>
          </w:tcPr>
          <w:p>
            <w:pPr>
              <w:jc w:val="center"/>
            </w:pPr>
            <w:r/>
            <w:r>
              <w:drawing>
                <wp:inline xmlns:a="http://schemas.openxmlformats.org/drawingml/2006/main" xmlns:pic="http://schemas.openxmlformats.org/drawingml/2006/picture">
                  <wp:extent cx="3108960" cy="1965960"/>
                  <wp:docPr id="8" name="Picture 8"/>
                  <wp:cNvGraphicFramePr>
                    <a:graphicFrameLocks noChangeAspect="1"/>
                  </wp:cNvGraphicFramePr>
                  <a:graphic>
                    <a:graphicData uri="http://schemas.openxmlformats.org/drawingml/2006/picture">
                      <pic:pic>
                        <pic:nvPicPr>
                          <pic:cNvPr id="0" name="i2.jpg"/>
                          <pic:cNvPicPr/>
                        </pic:nvPicPr>
                        <pic:blipFill>
                          <a:blip r:embed="rId17"/>
                          <a:stretch>
                            <a:fillRect/>
                          </a:stretch>
                        </pic:blipFill>
                        <pic:spPr>
                          <a:xfrm>
                            <a:off x="0" y="0"/>
                            <a:ext cx="3108960" cy="1965960"/>
                          </a:xfrm>
                          <a:prstGeom prst="rect"/>
                        </pic:spPr>
                      </pic:pic>
                    </a:graphicData>
                  </a:graphic>
                </wp:inline>
              </w:drawing>
            </w:r>
          </w:p>
          <w:p>
            <w:pPr>
              <w:spacing w:after="60"/>
              <w:jc w:val="center"/>
            </w:pPr>
            <w:r>
              <w:rPr>
                <w:rFonts w:ascii="Aptos" w:hAnsi="Aptos"/>
                <w:b/>
                <w:color w:val="15324A"/>
                <w:sz w:val="18"/>
              </w:rPr>
              <w:t>Additional service area</w:t>
            </w:r>
          </w:p>
        </w:tc>
        <w:tc>
          <w:tcPr>
            <w:tcW w:type="dxa" w:w="5328"/>
            <w:tcMar>
              <w:top w:w="50" w:type="dxa"/>
              <w:start w:w="50" w:type="dxa"/>
              <w:bottom w:w="50" w:type="dxa"/>
              <w:end w:w="50" w:type="dxa"/>
            </w:tcMar>
          </w:tcPr>
          <w:p>
            <w:pPr>
              <w:jc w:val="center"/>
            </w:pPr>
            <w:r/>
            <w:r>
              <w:drawing>
                <wp:inline xmlns:a="http://schemas.openxmlformats.org/drawingml/2006/main" xmlns:pic="http://schemas.openxmlformats.org/drawingml/2006/picture">
                  <wp:extent cx="3108960" cy="1965960"/>
                  <wp:docPr id="9" name="Picture 9"/>
                  <wp:cNvGraphicFramePr>
                    <a:graphicFrameLocks noChangeAspect="1"/>
                  </wp:cNvGraphicFramePr>
                  <a:graphic>
                    <a:graphicData uri="http://schemas.openxmlformats.org/drawingml/2006/picture">
                      <pic:pic>
                        <pic:nvPicPr>
                          <pic:cNvPr id="0" name="i3.jpg"/>
                          <pic:cNvPicPr/>
                        </pic:nvPicPr>
                        <pic:blipFill>
                          <a:blip r:embed="rId18"/>
                          <a:stretch>
                            <a:fillRect/>
                          </a:stretch>
                        </pic:blipFill>
                        <pic:spPr>
                          <a:xfrm>
                            <a:off x="0" y="0"/>
                            <a:ext cx="3108960" cy="1965960"/>
                          </a:xfrm>
                          <a:prstGeom prst="rect"/>
                        </pic:spPr>
                      </pic:pic>
                    </a:graphicData>
                  </a:graphic>
                </wp:inline>
              </w:drawing>
            </w:r>
          </w:p>
          <w:p>
            <w:pPr>
              <w:spacing w:after="60"/>
              <w:jc w:val="center"/>
            </w:pPr>
            <w:r>
              <w:rPr>
                <w:rFonts w:ascii="Aptos" w:hAnsi="Aptos"/>
                <w:b/>
                <w:color w:val="15324A"/>
                <w:sz w:val="18"/>
              </w:rPr>
              <w:t>Tire and equipment area</w:t>
            </w:r>
          </w:p>
        </w:tc>
      </w:tr>
    </w:tbl>
    <w:p>
      <w:pPr>
        <w:spacing w:before="160" w:after="80" w:line="259" w:lineRule="auto"/>
      </w:pPr>
      <w:r>
        <w:rPr>
          <w:rFonts w:ascii="Aptos" w:hAnsi="Aptos"/>
          <w:b/>
          <w:color w:val="15324A"/>
          <w:sz w:val="30"/>
        </w:rPr>
        <w:t>Offering Terms</w:t>
      </w:r>
    </w:p>
    <w:p>
      <w:pPr>
        <w:spacing w:before="0" w:after="140" w:line="259" w:lineRule="auto"/>
      </w:pPr>
      <w:r>
        <w:rPr>
          <w:rFonts w:ascii="Aptos" w:hAnsi="Aptos"/>
          <w:b w:val="0"/>
          <w:color w:val="222222"/>
          <w:sz w:val="21"/>
        </w:rPr>
        <w:t>Offered at $460,000, including all existing equipment. Contact the broker for the equipment list and additional property information.</w:t>
      </w:r>
    </w:p>
    <w:tbl>
      <w:tblPr>
        <w:tblW w:type="auto" w:w="0"/>
        <w:tblLook w:firstColumn="1" w:firstRow="1" w:lastColumn="0" w:lastRow="0" w:noHBand="0" w:noVBand="1" w:val="04A0"/>
        <w:tblBorders>
          <w:top w:val="single" w:sz="10" w:color="15324A"/>
          <w:left w:val="single" w:sz="10" w:color="15324A"/>
          <w:bottom w:val="single" w:sz="10" w:color="15324A"/>
          <w:right w:val="single" w:sz="10" w:color="15324A"/>
          <w:insideH w:val="single" w:sz="10" w:color="15324A"/>
          <w:insideV w:val="single" w:sz="10" w:color="15324A"/>
        </w:tblBorders>
      </w:tblPr>
      <w:tblGrid>
        <w:gridCol w:w="5328"/>
        <w:gridCol w:w="5328"/>
      </w:tblGrid>
      <w:tr>
        <w:tc>
          <w:tcPr>
            <w:tcW w:type="dxa" w:w="5328"/>
            <w:shd w:fill="15324A"/>
            <w:vAlign w:val="center"/>
            <w:tcMar>
              <w:top w:w="100" w:type="dxa"/>
              <w:start w:w="120" w:type="dxa"/>
              <w:bottom w:w="100" w:type="dxa"/>
              <w:end w:w="120" w:type="dxa"/>
            </w:tcMar>
          </w:tcPr>
          <w:p>
            <w:pPr>
              <w:spacing w:after="0"/>
              <w:jc w:val="center"/>
            </w:pPr>
            <w:r/>
            <w:r>
              <w:rPr>
                <w:rFonts w:ascii="Aptos" w:hAnsi="Aptos"/>
                <w:b/>
                <w:color w:val="FFFFFF"/>
                <w:sz w:val="20"/>
              </w:rPr>
              <w:t>LYLE STRATTON AND JEFF CRUMBAKER</w:t>
              <w:br/>
              <w:t>Venture Commercial Real Estate</w:t>
            </w:r>
          </w:p>
        </w:tc>
        <w:tc>
          <w:tcPr>
            <w:tcW w:type="dxa" w:w="5328"/>
            <w:shd w:fill="DCEAF2"/>
            <w:vAlign w:val="center"/>
            <w:tcMar>
              <w:top w:w="100" w:type="dxa"/>
              <w:start w:w="120" w:type="dxa"/>
              <w:bottom w:w="100" w:type="dxa"/>
              <w:end w:w="120" w:type="dxa"/>
            </w:tcMar>
          </w:tcPr>
          <w:p>
            <w:pPr>
              <w:spacing w:after="0"/>
              <w:jc w:val="center"/>
            </w:pPr>
            <w:r/>
            <w:r>
              <w:rPr>
                <w:rFonts w:ascii="Aptos" w:hAnsi="Aptos"/>
                <w:b/>
                <w:color w:val="15324A"/>
                <w:sz w:val="22"/>
              </w:rPr>
              <w:t>360.718.8787</w:t>
              <w:br/>
              <w:t>Call for details and equipment list</w:t>
            </w:r>
          </w:p>
        </w:tc>
      </w:tr>
    </w:tbl>
    <w:p>
      <w:pPr>
        <w:spacing w:before="160" w:after="20" w:line="259" w:lineRule="auto"/>
      </w:pPr>
      <w:r>
        <w:rPr>
          <w:rFonts w:ascii="Aptos" w:hAnsi="Aptos"/>
          <w:b/>
          <w:color w:val="666666"/>
          <w:sz w:val="16"/>
        </w:rPr>
        <w:t>Disclaimer</w:t>
      </w:r>
    </w:p>
    <w:p>
      <w:pPr>
        <w:spacing w:before="0" w:after="0" w:line="259" w:lineRule="auto"/>
      </w:pPr>
      <w:r>
        <w:rPr>
          <w:rFonts w:ascii="Aptos" w:hAnsi="Aptos"/>
          <w:b w:val="0"/>
          <w:color w:val="777777"/>
          <w:sz w:val="15"/>
        </w:rPr>
        <w:t>The information contained in this offering memorandum has been obtained from sources believed reliable but has not been independently verified. No warranty or representation is made as to its accuracy or completeness. Prospective purchasers should conduct their own independent investigation and verify all measurements, property characteristics, zoning, permitted uses, environmental conditions, equipment, and financial information. The property and equipment are offered subject to change, prior sale, or withdrawal without notice.</w:t>
      </w:r>
    </w:p>
    <w:p>
      <w:r>
        <w:br w:type="page"/>
      </w:r>
    </w:p>
    <w:p>
      <w:pPr>
        <w:spacing w:after="160"/>
      </w:pPr>
      <w:r>
        <w:rPr>
          <w:rFonts w:ascii="Aptos" w:hAnsi="Aptos"/>
          <w:b/>
          <w:color w:val="15324A"/>
          <w:sz w:val="36"/>
        </w:rPr>
        <w:t>Additional Property Features</w:t>
      </w:r>
    </w:p>
    <w:p>
      <w:pPr>
        <w:spacing w:after="160" w:line="259" w:lineRule="auto"/>
      </w:pPr>
      <w:r>
        <w:rPr>
          <w:rFonts w:ascii="Aptos" w:hAnsi="Aptos"/>
          <w:b w:val="0"/>
          <w:color w:val="222222"/>
          <w:sz w:val="21"/>
        </w:rPr>
        <w:t>Additional improvements and operating features support the property’s current tire-store and automotive-service use.</w:t>
      </w:r>
    </w:p>
    <w:p>
      <w:pPr>
        <w:spacing w:after="40"/>
        <w:jc w:val="center"/>
      </w:pPr>
      <w:r>
        <w:drawing>
          <wp:inline xmlns:a="http://schemas.openxmlformats.org/drawingml/2006/main" xmlns:pic="http://schemas.openxmlformats.org/drawingml/2006/picture">
            <wp:extent cx="6400800" cy="2880360"/>
            <wp:docPr id="10" name="Picture 10"/>
            <wp:cNvGraphicFramePr>
              <a:graphicFrameLocks noChangeAspect="1"/>
            </wp:cNvGraphicFramePr>
            <a:graphic>
              <a:graphicData uri="http://schemas.openxmlformats.org/drawingml/2006/picture">
                <pic:pic>
                  <pic:nvPicPr>
                    <pic:cNvPr id="0" name="tire_storage.jpg"/>
                    <pic:cNvPicPr/>
                  </pic:nvPicPr>
                  <pic:blipFill>
                    <a:blip r:embed="rId19"/>
                    <a:stretch>
                      <a:fillRect/>
                    </a:stretch>
                  </pic:blipFill>
                  <pic:spPr>
                    <a:xfrm>
                      <a:off x="0" y="0"/>
                      <a:ext cx="6400800" cy="2880360"/>
                    </a:xfrm>
                    <a:prstGeom prst="rect"/>
                  </pic:spPr>
                </pic:pic>
              </a:graphicData>
            </a:graphic>
          </wp:inline>
        </w:drawing>
      </w:r>
    </w:p>
    <w:p>
      <w:pPr>
        <w:spacing w:after="160" w:line="259" w:lineRule="auto"/>
        <w:jc w:val="center"/>
      </w:pPr>
      <w:r>
        <w:rPr>
          <w:rFonts w:ascii="Aptos" w:hAnsi="Aptos"/>
          <w:b/>
          <w:color w:val="15324A"/>
          <w:sz w:val="19"/>
        </w:rPr>
        <w:t>Tire storage and inventory area</w:t>
      </w:r>
    </w:p>
    <w:tbl>
      <w:tblPr>
        <w:tblW w:type="auto" w:w="0"/>
        <w:tblLayout w:type="fixed"/>
        <w:tblLook w:firstColumn="1" w:firstRow="1" w:lastColumn="0" w:lastRow="0" w:noHBand="0" w:noVBand="1" w:val="04A0"/>
        <w:tblBorders>
          <w:top w:val="nil"/>
          <w:left w:val="nil"/>
          <w:bottom w:val="nil"/>
          <w:right w:val="nil"/>
          <w:insideH w:val="nil"/>
          <w:insideV w:val="nil"/>
        </w:tblBorders>
      </w:tblPr>
      <w:tblGrid>
        <w:gridCol w:w="5328"/>
        <w:gridCol w:w="5328"/>
      </w:tblGrid>
      <w:tr>
        <w:tc>
          <w:tcPr>
            <w:tcW w:type="dxa" w:w="5328"/>
            <w:tcMar>
              <w:top w:w="50" w:type="dxa"/>
              <w:start w:w="50" w:type="dxa"/>
              <w:bottom w:w="50" w:type="dxa"/>
              <w:end w:w="50" w:type="dxa"/>
            </w:tcMar>
            <w:vAlign w:val="center"/>
          </w:tcPr>
          <w:p>
            <w:pPr>
              <w:jc w:val="center"/>
            </w:pPr>
            <w:r/>
            <w:r>
              <w:drawing>
                <wp:inline xmlns:a="http://schemas.openxmlformats.org/drawingml/2006/main" xmlns:pic="http://schemas.openxmlformats.org/drawingml/2006/picture">
                  <wp:extent cx="3108960" cy="2240280"/>
                  <wp:docPr id="11" name="Picture 11"/>
                  <wp:cNvGraphicFramePr>
                    <a:graphicFrameLocks noChangeAspect="1"/>
                  </wp:cNvGraphicFramePr>
                  <a:graphic>
                    <a:graphicData uri="http://schemas.openxmlformats.org/drawingml/2006/picture">
                      <pic:pic>
                        <pic:nvPicPr>
                          <pic:cNvPr id="0" name="feature_0.jpg"/>
                          <pic:cNvPicPr/>
                        </pic:nvPicPr>
                        <pic:blipFill>
                          <a:blip r:embed="rId20"/>
                          <a:stretch>
                            <a:fillRect/>
                          </a:stretch>
                        </pic:blipFill>
                        <pic:spPr>
                          <a:xfrm>
                            <a:off x="0" y="0"/>
                            <a:ext cx="3108960" cy="2240280"/>
                          </a:xfrm>
                          <a:prstGeom prst="rect"/>
                        </pic:spPr>
                      </pic:pic>
                    </a:graphicData>
                  </a:graphic>
                </wp:inline>
              </w:drawing>
            </w:r>
          </w:p>
          <w:p>
            <w:pPr>
              <w:spacing w:after="60"/>
              <w:jc w:val="center"/>
            </w:pPr>
            <w:r>
              <w:rPr>
                <w:rFonts w:ascii="Aptos" w:hAnsi="Aptos"/>
                <w:b/>
                <w:color w:val="15324A"/>
                <w:sz w:val="19"/>
              </w:rPr>
              <w:t>Separate shop building</w:t>
            </w:r>
          </w:p>
        </w:tc>
        <w:tc>
          <w:tcPr>
            <w:tcW w:type="dxa" w:w="5328"/>
            <w:tcMar>
              <w:top w:w="50" w:type="dxa"/>
              <w:start w:w="50" w:type="dxa"/>
              <w:bottom w:w="50" w:type="dxa"/>
              <w:end w:w="50" w:type="dxa"/>
            </w:tcMar>
            <w:vAlign w:val="center"/>
          </w:tcPr>
          <w:p>
            <w:pPr>
              <w:jc w:val="center"/>
            </w:pPr>
            <w:r/>
            <w:r>
              <w:drawing>
                <wp:inline xmlns:a="http://schemas.openxmlformats.org/drawingml/2006/main" xmlns:pic="http://schemas.openxmlformats.org/drawingml/2006/picture">
                  <wp:extent cx="3108960" cy="2240280"/>
                  <wp:docPr id="12" name="Picture 12"/>
                  <wp:cNvGraphicFramePr>
                    <a:graphicFrameLocks noChangeAspect="1"/>
                  </wp:cNvGraphicFramePr>
                  <a:graphic>
                    <a:graphicData uri="http://schemas.openxmlformats.org/drawingml/2006/picture">
                      <pic:pic>
                        <pic:nvPicPr>
                          <pic:cNvPr id="0" name="feature_1.jpg"/>
                          <pic:cNvPicPr/>
                        </pic:nvPicPr>
                        <pic:blipFill>
                          <a:blip r:embed="rId21"/>
                          <a:stretch>
                            <a:fillRect/>
                          </a:stretch>
                        </pic:blipFill>
                        <pic:spPr>
                          <a:xfrm>
                            <a:off x="0" y="0"/>
                            <a:ext cx="3108960" cy="2240280"/>
                          </a:xfrm>
                          <a:prstGeom prst="rect"/>
                        </pic:spPr>
                      </pic:pic>
                    </a:graphicData>
                  </a:graphic>
                </wp:inline>
              </w:drawing>
            </w:r>
          </w:p>
          <w:p>
            <w:pPr>
              <w:spacing w:after="60"/>
              <w:jc w:val="center"/>
            </w:pPr>
            <w:r>
              <w:rPr>
                <w:rFonts w:ascii="Aptos" w:hAnsi="Aptos"/>
                <w:b/>
                <w:color w:val="15324A"/>
                <w:sz w:val="19"/>
              </w:rPr>
              <w:t>On-site propane tank</w:t>
            </w:r>
          </w:p>
        </w:tc>
      </w:tr>
    </w:tbl>
    <w:p>
      <w:pPr>
        <w:spacing w:after="0" w:line="259" w:lineRule="auto"/>
      </w:pPr>
      <w:r>
        <w:rPr>
          <w:rFonts w:ascii="Aptos" w:hAnsi="Aptos"/>
          <w:b w:val="0"/>
          <w:color w:val="555555"/>
          <w:sz w:val="19"/>
        </w:rPr>
        <w:t>The included equipment and site features should be independently inspected and verified by prospective purchasers. Contact the brokers for the available equipment list and additional details.</w:t>
      </w:r>
    </w:p>
    <w:sectPr w:rsidR="00FC693F" w:rsidRPr="0006063C" w:rsidSect="00034616">
      <w:footerReference w:type="default" r:id="rId10"/>
      <w:pgSz w:w="12240" w:h="15840"/>
      <w:pgMar w:top="691" w:right="792" w:bottom="691" w:left="79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ptos" w:hAnsi="Aptos"/>
        <w:b w:val="0"/>
        <w:color w:val="666666"/>
        <w:sz w:val="16"/>
      </w:rPr>
      <w:t>Venture Commercial Real Estate   |   Lyle Stratton and Jeff Crumbaker   |   360.718.8787</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ptos" w:hAnsi="Aptos"/>
      <w:color w:val="222222"/>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footer" Target="footer1.xml"/><Relationship Id="rId11" Type="http://schemas.openxmlformats.org/officeDocument/2006/relationships/image" Target="media/image2.jpg"/><Relationship Id="rId12" Type="http://schemas.openxmlformats.org/officeDocument/2006/relationships/image" Target="media/image3.jpg"/><Relationship Id="rId13" Type="http://schemas.openxmlformats.org/officeDocument/2006/relationships/image" Target="media/image4.jpg"/><Relationship Id="rId14" Type="http://schemas.openxmlformats.org/officeDocument/2006/relationships/image" Target="media/image5.jpg"/><Relationship Id="rId15" Type="http://schemas.openxmlformats.org/officeDocument/2006/relationships/image" Target="media/image6.jpg"/><Relationship Id="rId16" Type="http://schemas.openxmlformats.org/officeDocument/2006/relationships/image" Target="media/image7.jpg"/><Relationship Id="rId17" Type="http://schemas.openxmlformats.org/officeDocument/2006/relationships/image" Target="media/image8.jpg"/><Relationship Id="rId18" Type="http://schemas.openxmlformats.org/officeDocument/2006/relationships/image" Target="media/image9.jpg"/><Relationship Id="rId19" Type="http://schemas.openxmlformats.org/officeDocument/2006/relationships/image" Target="media/image10.jpg"/><Relationship Id="rId20" Type="http://schemas.openxmlformats.org/officeDocument/2006/relationships/image" Target="media/image11.jpg"/><Relationship Id="rId21" Type="http://schemas.openxmlformats.org/officeDocument/2006/relationships/image" Target="media/image1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