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b/>
        </w:rPr>
        <w:t>St. Andrew’s Episcopal Church</w:t>
        <w:br/>
      </w:r>
      <w:r>
        <w:rPr>
          <w:sz w:val="28"/>
        </w:rPr>
        <w:t>Waterville, Minnesota — MLS Remarks Draft + Property Features Sheet</w:t>
      </w:r>
    </w:p>
    <w:p>
      <w:r>
        <w:rPr>
          <w:b/>
        </w:rPr>
        <w:t xml:space="preserve">Working pricing guidance: </w:t>
      </w:r>
      <w:r>
        <w:t xml:space="preserve">$265,000-$295,000 list guidance; likely negotiated range $235,000-$265,000. </w:t>
      </w:r>
      <w:r>
        <w:rPr>
          <w:i/>
        </w:rPr>
        <w:t>All facts below are preliminary and buyer to verify.</w:t>
      </w:r>
    </w:p>
    <w:p>
      <w:pPr>
        <w:pStyle w:val="Heading1"/>
      </w:pPr>
      <w:r>
        <w:t>Public MLS Remarks</w:t>
      </w:r>
    </w:p>
    <w:p>
      <w:r>
        <w:t>Historic stone church/assembly property with strong landmark presence in Waterville. Best suited for a congregation, nonprofit, community use, studio, counseling, arts, education, or other mission-driven adaptive reuse. Building size is preliminarily estimated at approximately 1,500-2,500 SF on an approximately 1-2 acre site. The property offers striking curb appeal, small-town identity value, sanctuary character, and stained-glass features that help tell the story. Sold as-is. Buyer to verify exact square footage, acreage, address, zoning, taxes, condition, and permitted uses. A practical offering for the right local or regional user, not a conventional commodity asset.</w:t>
      </w:r>
    </w:p>
    <w:p>
      <w:pPr>
        <w:pStyle w:val="Heading1"/>
      </w:pPr>
      <w:r>
        <w:t>Private / Broker Remarks</w:t>
      </w:r>
    </w:p>
    <w:p>
      <w:pPr>
        <w:pStyle w:val="ListBullet"/>
      </w:pPr>
      <w:r>
        <w:t>As-is sale; seller will consider ordinary due diligence but expects disciplined timing and realistic offers.</w:t>
      </w:r>
    </w:p>
    <w:p>
      <w:pPr>
        <w:pStyle w:val="ListBullet"/>
      </w:pPr>
      <w:r>
        <w:t>Exact legal address should be confirmed before live MLS entry. Public sources have shown both 208 W Lake St and 210 W Lake St.</w:t>
      </w:r>
    </w:p>
    <w:p>
      <w:pPr>
        <w:pStyle w:val="ListBullet"/>
      </w:pPr>
      <w:r>
        <w:t>Preliminary pricing guidance was developed from prior ECMN working analysis, not from a current formal appraisal.</w:t>
      </w:r>
    </w:p>
    <w:p>
      <w:pPr>
        <w:pStyle w:val="ListBullet"/>
      </w:pPr>
      <w:r>
        <w:t>Stained-glass value should not be assumed to be included beyond normal real-estate contribution unless separately documented.</w:t>
      </w:r>
    </w:p>
    <w:p>
      <w:pPr>
        <w:pStyle w:val="ListBullet"/>
      </w:pPr>
      <w:r>
        <w:t>Target buyer pool: local congregation, nonprofit, service organization, creative reuse buyer, mission-driven operator, or niche investor with local ties.</w:t>
      </w:r>
    </w:p>
    <w:p>
      <w:pPr>
        <w:pStyle w:val="ListBullet"/>
      </w:pPr>
      <w:r>
        <w:t>Use placeholders below for listing broker, showing contact, PID, taxes, zoning, and legal description once confirmed.</w:t>
      </w:r>
    </w:p>
    <w:p>
      <w:pPr>
        <w:pStyle w:val="Heading1"/>
      </w:pPr>
      <w:r>
        <w:t>Suggested MLS Data / Features Sheet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shd w:fill="D9E2F3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b/>
              </w:rPr>
              <w:t>Field</w:t>
            </w:r>
          </w:p>
        </w:tc>
        <w:tc>
          <w:tcPr>
            <w:tcW w:type="dxa" w:w="5112"/>
            <w:shd w:fill="D9E2F3"/>
            <w:tcMar>
              <w:top w:w="60" w:type="dxa"/>
              <w:start w:w="80" w:type="dxa"/>
              <w:bottom w:w="60" w:type="dxa"/>
              <w:end w:w="80" w:type="dxa"/>
            </w:tcMar>
          </w:tcPr>
          <w:p>
            <w:r>
              <w:rPr>
                <w:b/>
              </w:rPr>
              <w:t>Draft entry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Property name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St. Andrew’s Episcopal Church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Address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Use 208 W Lake St, Waterville, MN 56096 as working address; verify exact legal/site address before launch.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Property type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Church / assembly / special purpose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Current use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Religious / community facility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Proposed pricing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Launch guidance $265,000-$295,000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Likely sale range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Approximately $235,000-$265,000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Building size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Approx. 1,500-2,500 SF (working assumption)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Site size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Approx. 1-2 acres (working assumption)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Construction / style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Historic stone church / small-town landmark asset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Parking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Buyer to verify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Zoning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Buyer to verify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Taxes / PID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Buyer to verify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Condition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As-is; buyer to verify roof, structure, mechanicals, electrical, ADA, and environmental condition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Stained glass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Working estimate about $15,000 total; separate from real-estate value until independently verified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Best-fit uses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Congregation, chapel, nonprofit, counseling, studio, arts, education, community hall, mission-driven small business, or adaptive reuse</w:t>
            </w:r>
          </w:p>
        </w:tc>
      </w:tr>
      <w:tr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Marketing posture</w:t>
            </w:r>
          </w:p>
        </w:tc>
        <w:tc>
          <w:tcPr>
            <w:tcW w:type="dxa" w:w="5112"/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r>
              <w:t>Targeted niche marketing; do not position as conventional office or generic commercial product</w:t>
            </w:r>
          </w:p>
        </w:tc>
      </w:tr>
    </w:tbl>
    <w:p>
      <w:pPr>
        <w:pStyle w:val="Heading1"/>
      </w:pPr>
      <w:r>
        <w:t>Suggested headline options</w:t>
      </w:r>
    </w:p>
    <w:p>
      <w:pPr>
        <w:pStyle w:val="ListBullet"/>
      </w:pPr>
      <w:r>
        <w:t>Historic Waterville church with landmark curb appeal and adaptive-reuse potential</w:t>
      </w:r>
    </w:p>
    <w:p>
      <w:pPr>
        <w:pStyle w:val="ListBullet"/>
      </w:pPr>
      <w:r>
        <w:t>Small-town stone church / community-use opportunity</w:t>
      </w:r>
    </w:p>
    <w:p>
      <w:pPr>
        <w:pStyle w:val="ListBullet"/>
      </w:pPr>
      <w:r>
        <w:t>Mission-driven or creative reuse opportunity in Waterville</w:t>
      </w:r>
    </w:p>
    <w:p>
      <w:pPr>
        <w:pStyle w:val="Heading1"/>
      </w:pPr>
      <w:r>
        <w:t>Recommended launch notes</w:t>
      </w:r>
    </w:p>
    <w:p>
      <w:pPr>
        <w:pStyle w:val="ListBullet"/>
      </w:pPr>
      <w:r>
        <w:t>Lead with photography and identity, not generic church language.</w:t>
      </w:r>
    </w:p>
    <w:p>
      <w:pPr>
        <w:pStyle w:val="ListBullet"/>
      </w:pPr>
      <w:r>
        <w:t>Use targeted outreach to local churches, nonprofits, arts/community users, and regional niche brokers.</w:t>
      </w:r>
    </w:p>
    <w:p>
      <w:pPr>
        <w:pStyle w:val="ListBullet"/>
      </w:pPr>
      <w:r>
        <w:t>Keep the story honest: thin market, niche buyer pool, real character, practical pricing.</w:t>
      </w:r>
    </w:p>
    <w:sectPr w:rsidR="00FC693F" w:rsidRPr="0006063C" w:rsidSect="00034616">
      <w:pgSz w:w="12240" w:h="15840"/>
      <w:pgMar w:top="792" w:right="1008" w:bottom="79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 w:eastAsia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 w:eastAsia="Aptos"/>
      <w:b/>
      <w:bCs/>
      <w:color w:val="365F91" w:themeColor="accent1" w:themeShade="B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 w:eastAsia="Aptos"/>
      <w:b/>
      <w:bCs/>
      <w:color w:val="4F81BD" w:themeColor="accent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" w:hAnsi="Aptos" w:eastAsia="Aptos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" w:hAnsi="Aptos" w:eastAsia="Aptos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