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header+xml" PartName="/word/header4.xml"/>
  <Override ContentType="application/vnd.openxmlformats-officedocument.wordprocessingml.footer+xml" PartName="/word/footer4.xml"/>
  <Override ContentType="application/vnd.openxmlformats-officedocument.wordprocessingml.header+xml" PartName="/word/header5.xml"/>
  <Override ContentType="application/vnd.openxmlformats-officedocument.wordprocessingml.footer+xml" PartName="/word/footer5.xml"/>
  <Override ContentType="application/vnd.openxmlformats-officedocument.wordprocessingml.header+xml" PartName="/word/header6.xml"/>
  <Override ContentType="application/vnd.openxmlformats-officedocument.wordprocessingml.footer+xml" PartName="/word/footer6.xml"/>
  <Override ContentType="application/vnd.openxmlformats-officedocument.wordprocessingml.header+xml" PartName="/word/header7.xml"/>
  <Override ContentType="application/vnd.openxmlformats-officedocument.wordprocessingml.footer+xml" PartName="/word/footer7.xml"/>
  <Override ContentType="application/vnd.openxmlformats-officedocument.wordprocessingml.header+xml" PartName="/word/header8.xml"/>
  <Override ContentType="application/vnd.openxmlformats-officedocument.wordprocessingml.footer+xml" PartName="/word/footer8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224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2240"/>
      </w:tblGrid>
      <w:tr>
        <w:tc>
          <w:tcPr>
            <w:tcW w:type="dxa" w:w="12240"/>
            <w:shd w:fill="0B2540" w:color="auto" w:val="clear"/>
            <w:tcMar>
              <w:top w:type="dxa" w:w="0"/>
              <w:left w:type="dxa" w:w="1080"/>
              <w:bottom w:type="dxa" w:w="0"/>
              <w:right w:type="dxa" w:w="1080"/>
            </w:tcMar>
          </w:tcPr>
          <w:p>
            <w:pPr>
              <w:spacing w:after="0" w:before="200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30"/>
                <w:sz w:val="18"/>
                <w:szCs w:val="18"/>
              </w:rPr>
              <w:t xml:space="preserve">CONFIDENTIAL  ·  MARKETING &amp; OFFERING PRESENTATION</w:t>
            </w:r>
          </w:p>
          <w:p>
            <w:pPr>
              <w:spacing w:after="0" w:before="24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68"/>
                <w:szCs w:val="68"/>
              </w:rPr>
              <w:t xml:space="preserve">NACOTE CREEK</w:t>
            </w:r>
          </w:p>
          <w:p>
            <w:pPr>
              <w:spacing w:after="300" w:before="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B4922F"/>
                <w:sz w:val="68"/>
                <w:szCs w:val="68"/>
              </w:rPr>
              <w:t xml:space="preserve">MARINA</w:t>
            </w:r>
          </w:p>
          <w:p>
            <w:pPr>
              <w:pBdr>
                <w:top w:val="single" w:color="B4922F" w:sz="6" w:space="8"/>
              </w:pBdr>
              <w:spacing w:after="60"/>
              <w:jc w:val="center"/>
            </w:pPr>
            <w:r>
              <w:t xml:space="preserve"/>
            </w:r>
          </w:p>
          <w:p>
            <w:pPr>
              <w:spacing w:after="60" w:before="260"/>
              <w:jc w:val="center"/>
            </w:pPr>
            <w:r>
              <w:rPr>
                <w:rFonts w:ascii="Georgia" w:cs="Georgia" w:eastAsia="Georgia" w:hAnsi="Georgia"/>
                <w:i/>
                <w:iCs/>
                <w:color w:val="FFFFFF"/>
                <w:sz w:val="30"/>
                <w:szCs w:val="30"/>
              </w:rPr>
              <w:t xml:space="preserve">A Cash-Flowing Waterfront Asset</w:t>
            </w:r>
          </w:p>
          <w:p>
            <w:pPr>
              <w:spacing w:after="20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B4922F"/>
                <w:sz w:val="32"/>
                <w:szCs w:val="32"/>
              </w:rPr>
              <w:t xml:space="preserve">OFFERED AT $2,490,000</w:t>
            </w:r>
          </w:p>
          <w:p>
            <w:pPr>
              <w:spacing w:after="1200"/>
              <w:jc w:val="center"/>
            </w:pPr>
            <w:r>
              <w:rPr>
                <w:rFonts w:ascii="Georgia" w:cs="Georgia" w:eastAsia="Georgia" w:hAnsi="Georgia"/>
                <w:i/>
                <w:iCs/>
                <w:color w:val="F7F4EC"/>
                <w:sz w:val="22"/>
                <w:szCs w:val="22"/>
              </w:rPr>
              <w:t xml:space="preserve">Let the Bidding Begin</w:t>
            </w:r>
          </w:p>
          <w:p>
            <w:pPr>
              <w:spacing w:after="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20"/>
                <w:sz w:val="16"/>
                <w:szCs w:val="16"/>
              </w:rPr>
              <w:t xml:space="preserve">PREPARED FOR THE OWNERSHIP OF NACOTE CREEK MARINA</w:t>
            </w:r>
          </w:p>
          <w:p>
            <w:pPr>
              <w:spacing w:after="6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24"/>
                <w:szCs w:val="24"/>
              </w:rPr>
              <w:t xml:space="preserve">R.J. Timlin</w:t>
            </w:r>
          </w:p>
          <w:p>
            <w:pPr>
              <w:spacing w:after="6"/>
              <w:jc w:val="center"/>
            </w:pPr>
            <w:r>
              <w:rPr>
                <w:rFonts w:ascii="Calibri" w:cs="Calibri" w:eastAsia="Calibri" w:hAnsi="Calibri"/>
                <w:color w:val="F7F4EC"/>
                <w:sz w:val="17"/>
                <w:szCs w:val="17"/>
              </w:rPr>
              <w:t xml:space="preserve">Licensed Listing Agent  |  Auctioneer</w:t>
            </w:r>
          </w:p>
          <w:p>
            <w:pPr>
              <w:spacing w:after="6"/>
              <w:jc w:val="center"/>
            </w:pPr>
            <w:r>
              <w:rPr>
                <w:rFonts w:ascii="Calibri" w:cs="Calibri" w:eastAsia="Calibri" w:hAnsi="Calibri"/>
                <w:color w:val="F7F4EC"/>
                <w:sz w:val="17"/>
                <w:szCs w:val="17"/>
              </w:rPr>
              <w:t xml:space="preserve">REAL Brokerage  &amp;  Bright Home Auctions, LLC</w:t>
            </w:r>
          </w:p>
          <w:p>
            <w:pPr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E9DEB8"/>
                <w:sz w:val="16"/>
                <w:szCs w:val="16"/>
              </w:rPr>
              <w:t xml:space="preserve">610-972-9062</w:t>
            </w:r>
          </w:p>
          <w:p>
            <w:pPr>
              <w:spacing w:after="0" w:before="60"/>
              <w:jc w:val="center"/>
            </w:pPr>
            <w:r>
              <w:rPr>
                <w:rFonts w:ascii="Calibri" w:cs="Calibri" w:eastAsia="Calibri" w:hAnsi="Calibri"/>
                <w:color w:val="E9DEB8"/>
                <w:sz w:val="15"/>
                <w:szCs w:val="15"/>
              </w:rPr>
              <w:t xml:space="preserve">Multi-State Licensed — New York · Pennsylvania · New Jersey</w:t>
            </w:r>
          </w:p>
        </w:tc>
      </w:tr>
    </w:tbl>
    <w:p>
      <w:pPr>
        <w:sectPr>
          <w:pgSz w:w="12240" w:h="15840" w:orient="portrait"/>
          <w:pgMar w:top="0" w:right="0" w:bottom="0" w:left="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EXECUTIVE SUMMARY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Premier Waterfront Marina &amp; Income Powerhouse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Seize this rare opportunity to own a thriving 60-slip floating marina on scenic Nacote Creek — just a 30-minute boat ride to Atlantic City's buzz, Long Beach Island's charm, and delightful waterfront dining. Fully leased with water and electric hookups and an exclusive owner's slip, this 5.2-acre property spanning two lots is a cash-flowing, secluded waterfront asset.</w:t>
      </w:r>
    </w:p>
    <w:tbl>
      <w:tblPr>
        <w:tblW w:type="dxa" w:w="102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2550"/>
        <w:gridCol w:w="2550"/>
        <w:gridCol w:w="2550"/>
        <w:gridCol w:w="2550"/>
      </w:tblGrid>
      <w:tr>
        <w:tc>
          <w:tcPr>
            <w:tcW w:type="dxa" w:w="2550"/>
            <w:shd w:fill="F7F4EC" w:color="auto" w:val="clear"/>
            <w:tcMar>
              <w:top w:type="dxa" w:w="160"/>
              <w:left w:type="dxa" w:w="120"/>
              <w:bottom w:type="dxa" w:w="160"/>
              <w:right w:type="dxa" w:w="120"/>
            </w:tcMar>
            <w:vAlign w:val="center"/>
          </w:tcPr>
          <w:p>
            <w:pPr>
              <w:spacing w:after="3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2"/>
                <w:szCs w:val="22"/>
              </w:rPr>
              <w:t xml:space="preserve">5.2 Acres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6"/>
                <w:sz w:val="12"/>
                <w:szCs w:val="12"/>
              </w:rPr>
              <w:t xml:space="preserve">TWO LOTS</w:t>
            </w:r>
          </w:p>
        </w:tc>
        <w:tc>
          <w:tcPr>
            <w:tcW w:type="dxa" w:w="2550"/>
            <w:shd w:fill="F7F4EC" w:color="auto" w:val="clear"/>
            <w:tcMar>
              <w:top w:type="dxa" w:w="160"/>
              <w:left w:type="dxa" w:w="120"/>
              <w:bottom w:type="dxa" w:w="160"/>
              <w:right w:type="dxa" w:w="120"/>
            </w:tcMar>
            <w:vAlign w:val="center"/>
          </w:tcPr>
          <w:p>
            <w:pPr>
              <w:spacing w:after="3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2"/>
                <w:szCs w:val="22"/>
              </w:rPr>
              <w:t xml:space="preserve">60 Slips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6"/>
                <w:sz w:val="12"/>
                <w:szCs w:val="12"/>
              </w:rPr>
              <w:t xml:space="preserve">FULLY LEASED</w:t>
            </w:r>
          </w:p>
        </w:tc>
        <w:tc>
          <w:tcPr>
            <w:tcW w:type="dxa" w:w="2550"/>
            <w:shd w:fill="F7F4EC" w:color="auto" w:val="clear"/>
            <w:tcMar>
              <w:top w:type="dxa" w:w="160"/>
              <w:left w:type="dxa" w:w="120"/>
              <w:bottom w:type="dxa" w:w="160"/>
              <w:right w:type="dxa" w:w="120"/>
            </w:tcMar>
            <w:vAlign w:val="center"/>
          </w:tcPr>
          <w:p>
            <w:pPr>
              <w:spacing w:after="3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2"/>
                <w:szCs w:val="22"/>
              </w:rPr>
              <w:t xml:space="preserve">Apr–Nov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6"/>
                <w:sz w:val="12"/>
                <w:szCs w:val="12"/>
              </w:rPr>
              <w:t xml:space="preserve">SEASON OF OPERATION</w:t>
            </w:r>
          </w:p>
        </w:tc>
        <w:tc>
          <w:tcPr>
            <w:tcW w:type="dxa" w:w="2550"/>
            <w:shd w:fill="F7F4EC" w:color="auto" w:val="clear"/>
            <w:tcMar>
              <w:top w:type="dxa" w:w="160"/>
              <w:left w:type="dxa" w:w="120"/>
              <w:bottom w:type="dxa" w:w="160"/>
              <w:right w:type="dxa" w:w="120"/>
            </w:tcMar>
            <w:vAlign w:val="center"/>
          </w:tcPr>
          <w:p>
            <w:pPr>
              <w:spacing w:after="3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2"/>
                <w:szCs w:val="22"/>
              </w:rPr>
              <w:t xml:space="preserve">$2,490,000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6"/>
                <w:sz w:val="12"/>
                <w:szCs w:val="12"/>
              </w:rPr>
              <w:t xml:space="preserve">OFFERED PRICE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On-Site Improvements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2-bedroom / 1-bath main home with an attached 1-bedroom / 1-bath apartment (long-term tenant)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Newly renovated duplex — 1-bedroom / 1-bath unit (long-term tenant), plus a potential studio for additional income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20x40 leased warehouse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Two storage outbuildings and a workshop with ship store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Newer roofs throughout for worry-free ownership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Seasonal Operation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Open April through November with extended monthly rates, the marina maintains a loyal seasonal clientele and generates additional revenue through winter and summer boat prep and storage services.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Included Equipment — Turnkey Operation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30-ton travel lift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2021 Kubota backhoe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4,000-lb Clark forklift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Boat trailers (6-yard capacity)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Approximately 250 boat stands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Approximately 400 keel blocks</w:t>
      </w:r>
    </w:p>
    <w:p>
      <w:pPr>
        <w:pBdr>
          <w:top w:val="single" w:color="B4922F" w:sz="6" w:space="8"/>
          <w:bottom w:val="single" w:color="B4922F" w:sz="6" w:space="8"/>
        </w:pBdr>
        <w:shd w:fill="F7F4EC" w:color="auto" w:val="clear"/>
        <w:spacing w:after="140" w:before="260"/>
      </w:pPr>
      <w:r>
        <w:rPr>
          <w:rFonts w:ascii="Georgia" w:cs="Georgia" w:eastAsia="Georgia" w:hAnsi="Georgia"/>
          <w:i/>
          <w:iCs/>
          <w:color w:val="0B2540"/>
          <w:sz w:val="21"/>
          <w:szCs w:val="21"/>
        </w:rPr>
        <w:t xml:space="preserve">A cash-flowing, secluded waterfront asset with endless income potential — this is a rare chance to own a waterfront legacy.</w:t>
      </w:r>
    </w:p>
    <w:p>
      <w:pPr>
        <w:sectPr>
          <w:headerReference w:type="default" r:id="rId7"/>
          <w:footerReference w:type="default" r:id="rId8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DUE DILIGENCE &amp; OFFER TERMS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Buyer Responsibilities &amp; Bidding Requirements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This presentation is a marketing and information package prepared for qualified prospective buyers. Buyers are solely responsible for conducting their own due diligence — including zoning verification — prior to submitting an offer. All projections and operational figures presented are for illustration purposes only.</w:t>
      </w:r>
    </w:p>
    <w:p>
      <w:pPr>
        <w:pBdr>
          <w:top w:val="single" w:color="B4922F" w:sz="6" w:space="8"/>
          <w:bottom w:val="single" w:color="B4922F" w:sz="6" w:space="8"/>
        </w:pBdr>
        <w:shd w:fill="F7F4EC" w:color="auto" w:val="clear"/>
        <w:spacing w:after="140" w:before="260"/>
      </w:pPr>
      <w:r>
        <w:rPr>
          <w:rFonts w:ascii="Georgia" w:cs="Georgia" w:eastAsia="Georgia" w:hAnsi="Georgia"/>
          <w:i/>
          <w:iCs/>
          <w:color w:val="0B2540"/>
          <w:sz w:val="21"/>
          <w:szCs w:val="21"/>
        </w:rPr>
        <w:t xml:space="preserve">No offers will be received contingent on zoning approval.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Bidding &amp; Offer Requirements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Certified buyer registration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Verified proof of funds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Pre-approved financing requirements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Strict bidder qualification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Non-refundable earnest money deposits</w:t>
      </w:r>
    </w:p>
    <w:p>
      <w:pPr>
        <w:spacing w:after="20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These requirements are designed to eliminate unqualified buyers and tire-kickers, maximize exposure, and support a clean, competitive, and certain transaction.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Prospective buyers are encouraged to schedule a personal tour of the marina and operation prior to submitting an offer.</w:t>
      </w:r>
    </w:p>
    <w:p>
      <w:pPr>
        <w:sectPr>
          <w:headerReference w:type="default" r:id="rId9"/>
          <w:footerReference w:type="default" r:id="rId10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INVESTMENT THESIS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A Cash-Flowing Waterfront Asset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Nacote Creek Marina is not simply a parcel of waterfront real estate — it is an operating business with recurring, diversified revenue streams. Buyers in this category evaluate the marina the way they would any income-producing asset: occupancy, ancillary revenue, condition of infrastructure, and room to grow.</w:t>
      </w:r>
    </w:p>
    <w:p>
      <w:pPr>
        <w:spacing w:after="26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Buyers are solely responsible for their own due diligence. Revenue projections and operational information are based on property characteristics, occupancy, and owner representations, and are provided for illustration purposes only.</w:t>
      </w:r>
    </w:p>
    <w:tbl>
      <w:tblPr>
        <w:tblW w:type="dxa" w:w="102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3400"/>
        <w:gridCol w:w="3400"/>
        <w:gridCol w:w="3400"/>
      </w:tblGrid>
      <w:tr>
        <w:tc>
          <w:tcPr>
            <w:tcW w:type="dxa" w:w="3400"/>
            <w:shd w:fill="F7F4EC" w:color="auto" w:val="clear"/>
            <w:tcMar>
              <w:top w:type="dxa" w:w="200"/>
              <w:left w:type="dxa" w:w="160"/>
              <w:bottom w:type="dxa" w:w="200"/>
              <w:right w:type="dxa" w:w="160"/>
            </w:tcMar>
            <w:vAlign w:val="center"/>
          </w:tcPr>
          <w:p>
            <w:pPr>
              <w:spacing w:after="4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6"/>
                <w:szCs w:val="26"/>
              </w:rPr>
              <w:t xml:space="preserve">60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10"/>
                <w:sz w:val="14"/>
                <w:szCs w:val="14"/>
              </w:rPr>
              <w:t xml:space="preserve">LEASED FLOATING SLIPS</w:t>
            </w:r>
          </w:p>
        </w:tc>
        <w:tc>
          <w:tcPr>
            <w:tcW w:type="dxa" w:w="3400"/>
            <w:shd w:fill="F7F4EC" w:color="auto" w:val="clear"/>
            <w:tcMar>
              <w:top w:type="dxa" w:w="200"/>
              <w:left w:type="dxa" w:w="160"/>
              <w:bottom w:type="dxa" w:w="200"/>
              <w:right w:type="dxa" w:w="160"/>
            </w:tcMar>
            <w:vAlign w:val="center"/>
          </w:tcPr>
          <w:p>
            <w:pPr>
              <w:spacing w:after="4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6"/>
                <w:szCs w:val="26"/>
              </w:rPr>
              <w:t xml:space="preserve">15+ Yrs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10"/>
                <w:sz w:val="14"/>
                <w:szCs w:val="14"/>
              </w:rPr>
              <w:t xml:space="preserve">CONTINUOUS CASH FLOW</w:t>
            </w:r>
          </w:p>
        </w:tc>
        <w:tc>
          <w:tcPr>
            <w:tcW w:type="dxa" w:w="3400"/>
            <w:shd w:fill="F7F4EC" w:color="auto" w:val="clear"/>
            <w:tcMar>
              <w:top w:type="dxa" w:w="200"/>
              <w:left w:type="dxa" w:w="160"/>
              <w:bottom w:type="dxa" w:w="200"/>
              <w:right w:type="dxa" w:w="160"/>
            </w:tcMar>
            <w:vAlign w:val="center"/>
          </w:tcPr>
          <w:p>
            <w:pPr>
              <w:spacing w:after="4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0B2540"/>
                <w:sz w:val="26"/>
                <w:szCs w:val="26"/>
              </w:rPr>
              <w:t xml:space="preserve">$2,600–$3,000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B4922F"/>
                <w:spacing w:val="10"/>
                <w:sz w:val="14"/>
                <w:szCs w:val="14"/>
              </w:rPr>
              <w:t xml:space="preserve">SLIP RENTAL RANGE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Site &amp; Setting Advantages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Naturally set back from the water, providing meaningful protection from most storm exposure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Secluded, private setting with no neighboring residences to create conflict or restrict operations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Ideal positioning to expand into round-the-clock (24/7) boat service operations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Additional Revenue Components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Inland boat storage — approximately 100 storage positions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Boat winterizing / shrink-wrap service — averaging approximately $1,000 per slot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Extended monthly rates and a loyal seasonal clientele (open April–November)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Cash Operating Business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A cash operating business — check or cash only, no credit cards accepted. A nice, old-school operation with a loyal, cash-paying clientele.</w:t>
      </w:r>
    </w:p>
    <w:p>
      <w:pPr>
        <w:sectPr>
          <w:headerReference w:type="default" r:id="rId11"/>
          <w:footerReference w:type="default" r:id="rId12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GO-TO-MARKET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Finding a Buyer — Marketing Strategy</w:t>
      </w:r>
    </w:p>
    <w:tbl>
      <w:tblPr>
        <w:tblW w:type="dxa" w:w="10200"/>
        <w:tblBorders>
          <w:top w:val="single" w:color="E9DEB8" w:sz="4"/>
          <w:left w:val="none"/>
          <w:bottom w:val="single" w:color="E9DEB8" w:sz="4"/>
          <w:right w:val="none"/>
          <w:insideH w:val="single" w:color="E9DEB8" w:sz="4"/>
          <w:insideV w:val="none"/>
        </w:tblBorders>
      </w:tblPr>
      <w:tblGrid>
        <w:gridCol w:w="2600"/>
        <w:gridCol w:w="7600"/>
      </w:tblGrid>
      <w:tr>
        <w:tc>
          <w:tcPr>
            <w:tcW w:type="dxa" w:w="2600"/>
            <w:shd w:fill="F7F4EC" w:color="auto" w:val="clear"/>
            <w:tcMar>
              <w:top w:type="dxa" w:w="160"/>
              <w:left w:type="dxa" w:w="180"/>
              <w:bottom w:type="dxa" w:w="16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0B2540"/>
                <w:sz w:val="19"/>
                <w:szCs w:val="19"/>
              </w:rPr>
              <w:t xml:space="preserve">First Level — Direct Contact</w:t>
            </w:r>
          </w:p>
        </w:tc>
        <w:tc>
          <w:tcPr>
            <w:tcW w:type="dxa" w:w="7600"/>
            <w:shd w:fill="F7F4EC" w:color="auto" w:val="clear"/>
            <w:tcMar>
              <w:top w:type="dxa" w:w="160"/>
              <w:left w:type="dxa" w:w="180"/>
              <w:bottom w:type="dxa" w:w="160"/>
              <w:right w:type="dxa" w:w="180"/>
            </w:tcMar>
            <w:vAlign w:val="center"/>
          </w:tcPr>
          <w:p>
            <w:r>
              <w:rPr>
                <w:rFonts w:ascii="Georgia" w:cs="Georgia" w:eastAsia="Georgia" w:hAnsi="Georgia"/>
                <w:color w:val="3D4753"/>
                <w:sz w:val="19"/>
                <w:szCs w:val="19"/>
              </w:rPr>
              <w:t xml:space="preserve">Current owners of marinas along the Eastern Seaboard · Marine boat dealers · Potential related businesses · Trade publications. Outreach via stop-in visits, direct mail, email, and phone.</w:t>
            </w:r>
          </w:p>
        </w:tc>
      </w:tr>
      <w:tr>
        <w:tc>
          <w:tcPr>
            <w:tcW w:type="dxa" w:w="2600"/>
            <w:tcMar>
              <w:top w:type="dxa" w:w="160"/>
              <w:left w:type="dxa" w:w="180"/>
              <w:bottom w:type="dxa" w:w="16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0B2540"/>
                <w:sz w:val="19"/>
                <w:szCs w:val="19"/>
              </w:rPr>
              <w:t xml:space="preserve">Second Level — Auction Platforms</w:t>
            </w:r>
          </w:p>
        </w:tc>
        <w:tc>
          <w:tcPr>
            <w:tcW w:type="dxa" w:w="7600"/>
            <w:tcMar>
              <w:top w:type="dxa" w:w="160"/>
              <w:left w:type="dxa" w:w="180"/>
              <w:bottom w:type="dxa" w:w="160"/>
              <w:right w:type="dxa" w:w="180"/>
            </w:tcMar>
            <w:vAlign w:val="center"/>
          </w:tcPr>
          <w:p>
            <w:r>
              <w:rPr>
                <w:rFonts w:ascii="Georgia" w:cs="Georgia" w:eastAsia="Georgia" w:hAnsi="Georgia"/>
                <w:color w:val="3D4753"/>
                <w:sz w:val="19"/>
                <w:szCs w:val="19"/>
              </w:rPr>
              <w:t xml:space="preserve">LoopNet · Crexi · BizNet · CoStar · 300+ commercial and investor portals.</w:t>
            </w:r>
          </w:p>
        </w:tc>
      </w:tr>
      <w:tr>
        <w:tc>
          <w:tcPr>
            <w:tcW w:type="dxa" w:w="2600"/>
            <w:shd w:fill="F7F4EC" w:color="auto" w:val="clear"/>
            <w:tcMar>
              <w:top w:type="dxa" w:w="160"/>
              <w:left w:type="dxa" w:w="180"/>
              <w:bottom w:type="dxa" w:w="16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0B2540"/>
                <w:sz w:val="19"/>
                <w:szCs w:val="19"/>
              </w:rPr>
              <w:t xml:space="preserve">Third Level — Traditional</w:t>
            </w:r>
          </w:p>
        </w:tc>
        <w:tc>
          <w:tcPr>
            <w:tcW w:type="dxa" w:w="7600"/>
            <w:shd w:fill="F7F4EC" w:color="auto" w:val="clear"/>
            <w:tcMar>
              <w:top w:type="dxa" w:w="160"/>
              <w:left w:type="dxa" w:w="180"/>
              <w:bottom w:type="dxa" w:w="160"/>
              <w:right w:type="dxa" w:w="180"/>
            </w:tcMar>
            <w:vAlign w:val="center"/>
          </w:tcPr>
          <w:p>
            <w:r>
              <w:rPr>
                <w:rFonts w:ascii="Georgia" w:cs="Georgia" w:eastAsia="Georgia" w:hAnsi="Georgia"/>
                <w:color w:val="3D4753"/>
                <w:sz w:val="19"/>
                <w:szCs w:val="19"/>
              </w:rPr>
              <w:t xml:space="preserve">REAL Brokerage · National Commercial Listing MLS across New York, Pennsylvania, and New Jersey.</w:t>
            </w:r>
          </w:p>
        </w:tc>
      </w:tr>
    </w:tbl>
    <w:p>
      <w:pPr>
        <w:spacing w:before="260"/>
      </w:pP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Marina &amp; Waterfront Property Division — Asset Types We Represent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Full-Service Marinas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Yacht Clubs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Dry Stack Storage Facilities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Boatyards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Boat Repair Facilities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Marine Service Centers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Waterfront Restaurants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Mixed-Use Waterfront Developments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Waterfront Redevelopment Sites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Campgrounds with Marina Components</w:t>
      </w:r>
    </w:p>
    <w:p>
      <w:pPr>
        <w:sectPr>
          <w:headerReference w:type="default" r:id="rId13"/>
          <w:footerReference w:type="default" r:id="rId14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BUYER UNIVERSE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Property Types &amp; Buyer Network</w:t>
      </w:r>
    </w:p>
    <w:tbl>
      <w:tblPr>
        <w:tblW w:type="dxa" w:w="102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100"/>
        <w:gridCol w:w="5100"/>
      </w:tblGrid>
      <w:tr>
        <w:tc>
          <w:tcPr>
            <w:tcW w:type="dxa" w:w="5100"/>
            <w:tcMar>
              <w:right w:type="dxa" w:w="220"/>
            </w:tcMar>
          </w:tcPr>
          <w:p>
            <w:pPr>
              <w:spacing w:after="100" w:before="220"/>
            </w:pPr>
            <w:r>
              <w:rPr>
                <w:rFonts w:ascii="Calibri" w:cs="Calibri" w:eastAsia="Calibri" w:hAnsi="Calibri"/>
                <w:b/>
                <w:bCs/>
                <w:color w:val="13385C"/>
                <w:sz w:val="21"/>
                <w:szCs w:val="21"/>
              </w:rPr>
              <w:t xml:space="preserve">Property Types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20–50 Slip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50–100 Slip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100+ Slip Investment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Municipal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Resort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Deep Water Commercial Facilities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Inland Lake Marinas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Riverfront Marinas</w:t>
            </w:r>
          </w:p>
        </w:tc>
        <w:tc>
          <w:tcPr>
            <w:tcW w:type="dxa" w:w="5100"/>
            <w:tcMar>
              <w:left w:type="dxa" w:w="220"/>
            </w:tcMar>
          </w:tcPr>
          <w:p>
            <w:pPr>
              <w:spacing w:after="100" w:before="220"/>
            </w:pPr>
            <w:r>
              <w:rPr>
                <w:rFonts w:ascii="Calibri" w:cs="Calibri" w:eastAsia="Calibri" w:hAnsi="Calibri"/>
                <w:b/>
                <w:bCs/>
                <w:color w:val="13385C"/>
                <w:sz w:val="21"/>
                <w:szCs w:val="21"/>
              </w:rPr>
              <w:t xml:space="preserve">Buyer Network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Private Investors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Family Offices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Marine Operators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Regional Marina Owners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Private Equity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REITs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Hospitality Groups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Developers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/>
            </w:pPr>
            <w:r>
              <w:rPr>
                <w:rFonts w:ascii="Georgia" w:cs="Georgia" w:eastAsia="Georgia" w:hAnsi="Georgia"/>
                <w:color w:val="3D4753"/>
                <w:sz w:val="20"/>
                <w:szCs w:val="20"/>
              </w:rPr>
              <w:t xml:space="preserve">1031 Exchange Buyers</w:t>
            </w:r>
          </w:p>
        </w:tc>
      </w:tr>
    </w:tbl>
    <w:p>
      <w:pPr>
        <w:spacing w:before="300"/>
      </w:pP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Our Marketing Platform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Confidential Marketing Available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National Investor Database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LoopNet · Crexi · CoStar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Targeted Digital Advertising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Direct Investor Outreach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Hybrid Auction &amp; Traditional Listing Options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B4922F"/>
          <w:sz w:val="20"/>
          <w:szCs w:val="20"/>
        </w:rPr>
        <w:t xml:space="preserve">✓  </w:t>
      </w:r>
      <w:r>
        <w:rPr>
          <w:rFonts w:ascii="Georgia" w:cs="Georgia" w:eastAsia="Georgia" w:hAnsi="Georgia"/>
          <w:color w:val="3D4753"/>
          <w:sz w:val="20"/>
          <w:szCs w:val="20"/>
        </w:rPr>
        <w:t xml:space="preserve">Live &amp; Online Competitive Bidding</w:t>
      </w:r>
    </w:p>
    <w:p>
      <w:pPr>
        <w:sectPr>
          <w:headerReference w:type="default" r:id="rId15"/>
          <w:footerReference w:type="default" r:id="rId16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WHY IT MATTERS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Why Marinas Require a Specialist</w:t>
      </w:r>
    </w:p>
    <w:p>
      <w:pPr>
        <w:spacing w:after="26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Marinas are operating businesses as much as they are real estate. Buyers evaluate recurring slip income, fuel sales, service revenue, permits, submerged land rights, environmental compliance, occupancy, and expansion potential — not just the land and buildings. Specialized marketing and due diligence can materially affect both pricing and time on market.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Geographic Coverage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New Jersey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New York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Delaware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Maryland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Pennsylvania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Chesapeake Bay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Mid-Atlantic Region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Transaction Size</w:t>
      </w:r>
    </w:p>
    <w:p>
      <w:pPr>
        <w:spacing w:after="140"/>
        <w:jc w:val="left"/>
      </w:pPr>
      <w:r>
        <w:rPr>
          <w:rFonts w:ascii="Georgia" w:cs="Georgia" w:eastAsia="Georgia" w:hAnsi="Georgia"/>
          <w:b/>
          <w:bCs/>
          <w:color w:val="0B2540"/>
          <w:sz w:val="24"/>
          <w:szCs w:val="24"/>
        </w:rPr>
        <w:t xml:space="preserve">$2 Million – $10 Million</w:t>
      </w:r>
    </w:p>
    <w:p>
      <w:pPr>
        <w:spacing w:after="220" w:before="100"/>
      </w:pPr>
      <w:r>
        <w:rPr>
          <w:rFonts w:ascii="Georgia" w:cs="Georgia" w:eastAsia="Georgia" w:hAnsi="Georgia"/>
          <w:i/>
          <w:iCs/>
          <w:color w:val="B4922F"/>
          <w:sz w:val="22"/>
          <w:szCs w:val="22"/>
        </w:rPr>
        <w:t xml:space="preserve">Connecting Waterfront Assets with Qualified Buyers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12 Factors That Increase Marina Value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High occupancy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Long waiting list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Fuel sales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Dry stack storage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Service department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Restaurant or retail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Boat storage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Strong financial records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Updated docks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Expansion opportunities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Clean environmental history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Prime location</w:t>
      </w:r>
    </w:p>
    <w:p>
      <w:pPr>
        <w:sectPr>
          <w:headerReference w:type="default" r:id="rId17"/>
          <w:footerReference w:type="default" r:id="rId18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UNTAPPED POTENTIAL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Highest &amp; Best Use — Room to Grow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Nacote Creek Marina offers a rare foundation for a buyer ready to build something significant on the water. Its protected, secluded setting and established operations create a base — but the real story here is upside. Beyond its current use, the property presents multiple paths for expansion and reinvention: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Ways to Build On This Foundation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Launch or expand charter operations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Marine sales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Conversion potential to a highly sought-after RV park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Expanded 24/7 boat service operations, supported by the secluded, low-conflict setting</w:t>
      </w:r>
    </w:p>
    <w:p>
      <w:pPr>
        <w:pBdr>
          <w:top w:val="single" w:color="B4922F" w:sz="6" w:space="8"/>
          <w:bottom w:val="single" w:color="B4922F" w:sz="6" w:space="8"/>
        </w:pBdr>
        <w:shd w:fill="F7F4EC" w:color="auto" w:val="clear"/>
        <w:spacing w:after="140" w:before="260"/>
      </w:pPr>
      <w:r>
        <w:rPr>
          <w:rFonts w:ascii="Georgia" w:cs="Georgia" w:eastAsia="Georgia" w:hAnsi="Georgia"/>
          <w:i/>
          <w:iCs/>
          <w:color w:val="0B2540"/>
          <w:sz w:val="21"/>
          <w:szCs w:val="21"/>
        </w:rPr>
        <w:t xml:space="preserve">This is a true diamond in the rough — an unpolished, high-upside waterfront asset, protected by nature and positioned for a buyer ready to bring the vision. Now is the time to launch that dream.</w:t>
      </w:r>
    </w:p>
    <w:p>
      <w:pPr>
        <w:sectPr>
          <w:headerReference w:type="default" r:id="rId19"/>
          <w:footerReference w:type="default" r:id="rId20"/>
          <w:pgSz w:w="12240" w:h="15840" w:orient="portrait"/>
          <w:pgMar w:top="1300" w:right="1080" w:bottom="1200" w:left="108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Calibri" w:cs="Calibri" w:eastAsia="Calibri" w:hAnsi="Calibri"/>
          <w:b/>
          <w:bCs/>
          <w:color w:val="B4922F"/>
          <w:spacing w:val="20"/>
          <w:sz w:val="16"/>
          <w:szCs w:val="16"/>
        </w:rPr>
        <w:t xml:space="preserve">GETTING STARTED</w:t>
      </w:r>
    </w:p>
    <w:p>
      <w:pPr>
        <w:pBdr>
          <w:bottom w:val="single" w:color="B4922F" w:sz="8" w:space="6"/>
        </w:pBdr>
        <w:spacing w:after="180" w:before="0"/>
      </w:pPr>
      <w:r>
        <w:rPr>
          <w:rFonts w:ascii="Georgia" w:cs="Georgia" w:eastAsia="Georgia" w:hAnsi="Georgia"/>
          <w:b/>
          <w:bCs/>
          <w:color w:val="0B2540"/>
          <w:sz w:val="30"/>
          <w:szCs w:val="30"/>
        </w:rPr>
        <w:t xml:space="preserve">Buyer Due Diligence Checklist</w:t>
      </w:r>
    </w:p>
    <w:p>
      <w:pPr>
        <w:spacing w:after="140"/>
        <w:jc w:val="left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Buyers are solely responsible for independently verifying all information about the property prior to submitting an offer. Items typically reviewed during due diligence include: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Zoning classification and permitted use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Permits and variances on file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Slip occupancy and lease status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Environmental compliance and history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Survey and title work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Tenant lease agreements (apartment &amp; duplex)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Insurance history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Condition of docks, structures, and included equipment</w:t>
      </w:r>
    </w:p>
    <w:p>
      <w:pPr>
        <w:spacing w:before="280"/>
      </w:pP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3385C"/>
          <w:sz w:val="21"/>
          <w:szCs w:val="21"/>
        </w:rPr>
        <w:t xml:space="preserve">How to Participate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Schedule a personal tour of the marina and operation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Complete certified buyer registration and submit verified proof of funds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Conduct independent due diligence, including zoning verification — no offers will be accepted contingent on zoning approval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Submit an offer in accordance with the auction terms and any stated deadlines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3D4753"/>
          <w:sz w:val="20"/>
          <w:szCs w:val="20"/>
        </w:rPr>
        <w:t xml:space="preserve">Execute a purchase agreement upon acceptance of a bid</w:t>
      </w:r>
    </w:p>
    <w:p>
      <w:pPr>
        <w:pBdr>
          <w:top w:val="single" w:color="B4922F" w:sz="6" w:space="8"/>
          <w:bottom w:val="single" w:color="B4922F" w:sz="6" w:space="8"/>
        </w:pBdr>
        <w:shd w:fill="F7F4EC" w:color="auto" w:val="clear"/>
        <w:spacing w:after="100" w:before="320"/>
      </w:pPr>
      <w:r>
        <w:rPr>
          <w:rFonts w:ascii="Georgia" w:cs="Georgia" w:eastAsia="Georgia" w:hAnsi="Georgia"/>
          <w:i/>
          <w:iCs/>
          <w:color w:val="0B2540"/>
          <w:sz w:val="19"/>
          <w:szCs w:val="19"/>
        </w:rPr>
        <w:t xml:space="preserve">All areas of discussion in this presentation are considered confidential. Buyers are solely responsible for their own due diligence, including zoning; no offers will be received contingent on zoning approval.</w:t>
      </w:r>
    </w:p>
    <w:sectPr>
      <w:headerReference w:type="default" r:id="rId21"/>
      <w:footerReference w:type="default" r:id="rId22"/>
      <w:pgSz w:w="12240" w:h="15840" w:orient="portrait"/>
      <w:pgMar w:top="1300" w:right="1080" w:bottom="12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color w:val="3D4753"/>
        <w:sz w:val="14"/>
        <w:szCs w:val="14"/>
      </w:rPr>
      <w:t xml:space="preserve">R.J. Timlin  ·  REAL Brokerage &amp; Bright Home Auctions, LLC  ·  610-972-9062</w:t>
    </w:r>
    <w:r>
      <w:rPr>
        <w:rFonts w:ascii="Calibri" w:cs="Calibri" w:eastAsia="Calibri" w:hAnsi="Calibri"/>
        <w:color w:val="3D4753"/>
        <w:sz w:val="14"/>
        <w:szCs w:val="14"/>
      </w:rPr>
      <w:t xml:space="preserve">	NY · PA · NJ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9DEB8" w:sz="4" w:space="4"/>
      </w:pBdr>
      <w:tabs>
        <w:tab w:val="right" w:pos="10080"/>
      </w:tabs>
    </w:pPr>
    <w:r>
      <w:rPr>
        <w:rFonts w:ascii="Calibri" w:cs="Calibri" w:eastAsia="Calibri" w:hAnsi="Calibri"/>
        <w:b/>
        <w:bCs/>
        <w:color w:val="0B2540"/>
        <w:spacing w:val="10"/>
        <w:sz w:val="15"/>
        <w:szCs w:val="15"/>
      </w:rPr>
      <w:t xml:space="preserve">NACOTE CREEK MARINA</w:t>
    </w:r>
    <w:r>
      <w:rPr>
        <w:rFonts w:ascii="Calibri" w:cs="Calibri" w:eastAsia="Calibri" w:hAnsi="Calibri"/>
        <w:b/>
        <w:bCs/>
        <w:color w:val="B4922F"/>
        <w:spacing w:val="10"/>
        <w:sz w:val="15"/>
        <w:szCs w:val="15"/>
      </w:rPr>
      <w:t xml:space="preserve">	CONFIDENTIAL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er3.xml.rels><?xml version="1.0" encoding="UTF-8"?><Relationships xmlns="http://schemas.openxmlformats.org/package/2006/relationships"/>
</file>

<file path=word/_rels/footer4.xml.rels><?xml version="1.0" encoding="UTF-8"?><Relationships xmlns="http://schemas.openxmlformats.org/package/2006/relationships"/>
</file>

<file path=word/_rels/footer5.xml.rels><?xml version="1.0" encoding="UTF-8"?><Relationships xmlns="http://schemas.openxmlformats.org/package/2006/relationships"/>
</file>

<file path=word/_rels/footer6.xml.rels><?xml version="1.0" encoding="UTF-8"?><Relationships xmlns="http://schemas.openxmlformats.org/package/2006/relationships"/>
</file>

<file path=word/_rels/footer7.xml.rels><?xml version="1.0" encoding="UTF-8"?><Relationships xmlns="http://schemas.openxmlformats.org/package/2006/relationships"/>
</file>

<file path=word/_rels/footer8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word/_rels/header3.xml.rels><?xml version="1.0" encoding="UTF-8"?><Relationships xmlns="http://schemas.openxmlformats.org/package/2006/relationships"/>
</file>

<file path=word/_rels/header4.xml.rels><?xml version="1.0" encoding="UTF-8"?><Relationships xmlns="http://schemas.openxmlformats.org/package/2006/relationships"/>
</file>

<file path=word/_rels/header5.xml.rels><?xml version="1.0" encoding="UTF-8"?><Relationships xmlns="http://schemas.openxmlformats.org/package/2006/relationships"/>
</file>

<file path=word/_rels/header6.xml.rels><?xml version="1.0" encoding="UTF-8"?><Relationships xmlns="http://schemas.openxmlformats.org/package/2006/relationships"/>
</file>

<file path=word/_rels/header7.xml.rels><?xml version="1.0" encoding="UTF-8"?><Relationships xmlns="http://schemas.openxmlformats.org/package/2006/relationships"/>
</file>

<file path=word/_rels/header8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2026-08-14T12:57:24.969Z</dcterms:created>
  <dcterms:modified xsi:type="dcterms:W3CDTF">2026-08-14T12:57:24.982Z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