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F95D02" w14:paraId="422AAAA4"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shd w:val="clear" w:color="auto" w:fill="012169"/>
            <w:tcMar>
              <w:top w:w="500" w:type="dxa"/>
              <w:left w:w="600" w:type="dxa"/>
              <w:bottom w:w="500" w:type="dxa"/>
              <w:right w:w="600" w:type="dxa"/>
            </w:tcMar>
          </w:tcPr>
          <w:p w14:paraId="14F1140F" w14:textId="77777777" w:rsidR="00F95D02" w:rsidRDefault="00000000">
            <w:pPr>
              <w:spacing w:after="80"/>
            </w:pPr>
            <w:r>
              <w:rPr>
                <w:b/>
                <w:bCs/>
                <w:color w:val="418FDE"/>
                <w:spacing w:val="100"/>
                <w:sz w:val="20"/>
                <w:szCs w:val="20"/>
              </w:rPr>
              <w:t>FOR SALE</w:t>
            </w:r>
          </w:p>
          <w:p w14:paraId="7F9B2E3B" w14:textId="77777777" w:rsidR="00F95D02" w:rsidRDefault="00000000">
            <w:pPr>
              <w:spacing w:after="80"/>
            </w:pPr>
            <w:r>
              <w:rPr>
                <w:b/>
                <w:bCs/>
                <w:color w:val="FFFFFF"/>
                <w:sz w:val="56"/>
                <w:szCs w:val="56"/>
              </w:rPr>
              <w:t>53.77-Acre Entitled Development Site</w:t>
            </w:r>
          </w:p>
          <w:p w14:paraId="7F4982C5" w14:textId="77777777" w:rsidR="00F95D02" w:rsidRDefault="00000000">
            <w:r>
              <w:rPr>
                <w:color w:val="B0C8E8"/>
                <w:sz w:val="26"/>
                <w:szCs w:val="26"/>
              </w:rPr>
              <w:t xml:space="preserve">State Route 732 (Camden </w:t>
            </w:r>
            <w:proofErr w:type="gramStart"/>
            <w:r>
              <w:rPr>
                <w:color w:val="B0C8E8"/>
                <w:sz w:val="26"/>
                <w:szCs w:val="26"/>
              </w:rPr>
              <w:t>Road)  |</w:t>
            </w:r>
            <w:proofErr w:type="gramEnd"/>
            <w:r>
              <w:rPr>
                <w:color w:val="B0C8E8"/>
                <w:sz w:val="26"/>
                <w:szCs w:val="26"/>
              </w:rPr>
              <w:t xml:space="preserve">  Eaton, Ohio 45320  |  Preble County</w:t>
            </w:r>
          </w:p>
        </w:tc>
      </w:tr>
    </w:tbl>
    <w:p w14:paraId="79E11EC8" w14:textId="77777777" w:rsidR="00F95D02" w:rsidRDefault="00F95D02">
      <w:pPr>
        <w:spacing w:after="4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69"/>
        <w:gridCol w:w="2074"/>
        <w:gridCol w:w="2836"/>
        <w:gridCol w:w="2581"/>
      </w:tblGrid>
      <w:tr w:rsidR="00F95D02" w14:paraId="3977B262"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shd w:val="clear" w:color="auto" w:fill="0A3070"/>
            <w:tcMar>
              <w:top w:w="280" w:type="dxa"/>
              <w:left w:w="300" w:type="dxa"/>
              <w:bottom w:w="280" w:type="dxa"/>
              <w:right w:w="300" w:type="dxa"/>
            </w:tcMar>
          </w:tcPr>
          <w:p w14:paraId="4C66CA41" w14:textId="77777777" w:rsidR="00F95D02" w:rsidRDefault="00000000">
            <w:pPr>
              <w:spacing w:after="40"/>
              <w:jc w:val="center"/>
            </w:pPr>
            <w:r>
              <w:rPr>
                <w:b/>
                <w:bCs/>
                <w:color w:val="FFFFFF"/>
                <w:sz w:val="38"/>
                <w:szCs w:val="38"/>
              </w:rPr>
              <w:t>53.77</w:t>
            </w:r>
          </w:p>
          <w:p w14:paraId="1E69F329" w14:textId="77777777" w:rsidR="00F95D02" w:rsidRDefault="00000000">
            <w:pPr>
              <w:jc w:val="center"/>
            </w:pPr>
            <w:r>
              <w:rPr>
                <w:color w:val="9AB8D8"/>
                <w:sz w:val="18"/>
                <w:szCs w:val="18"/>
              </w:rPr>
              <w:t>Total Acres</w:t>
            </w:r>
          </w:p>
        </w:tc>
        <w:tc>
          <w:tcPr>
            <w:tcW w:w="0" w:type="auto"/>
            <w:tcBorders>
              <w:top w:val="none" w:sz="0" w:space="0" w:color="FFFFFF"/>
              <w:left w:val="single" w:sz="1" w:space="0" w:color="7090B0"/>
              <w:bottom w:val="none" w:sz="0" w:space="0" w:color="FFFFFF"/>
              <w:right w:val="none" w:sz="0" w:space="0" w:color="FFFFFF"/>
            </w:tcBorders>
            <w:shd w:val="clear" w:color="auto" w:fill="0A3070"/>
            <w:tcMar>
              <w:top w:w="280" w:type="dxa"/>
              <w:left w:w="300" w:type="dxa"/>
              <w:bottom w:w="280" w:type="dxa"/>
              <w:right w:w="300" w:type="dxa"/>
            </w:tcMar>
          </w:tcPr>
          <w:p w14:paraId="61A233AD" w14:textId="77777777" w:rsidR="00F95D02" w:rsidRDefault="00000000">
            <w:pPr>
              <w:spacing w:after="40"/>
              <w:jc w:val="center"/>
            </w:pPr>
            <w:r>
              <w:rPr>
                <w:b/>
                <w:bCs/>
                <w:color w:val="FFFFFF"/>
                <w:sz w:val="38"/>
                <w:szCs w:val="38"/>
              </w:rPr>
              <w:t>R-1A</w:t>
            </w:r>
          </w:p>
          <w:p w14:paraId="26A54E23" w14:textId="77777777" w:rsidR="00F95D02" w:rsidRDefault="00000000">
            <w:pPr>
              <w:jc w:val="center"/>
            </w:pPr>
            <w:r>
              <w:rPr>
                <w:color w:val="9AB8D8"/>
                <w:sz w:val="18"/>
                <w:szCs w:val="18"/>
              </w:rPr>
              <w:t>Zoning Target</w:t>
            </w:r>
          </w:p>
        </w:tc>
        <w:tc>
          <w:tcPr>
            <w:tcW w:w="0" w:type="auto"/>
            <w:tcBorders>
              <w:top w:val="none" w:sz="0" w:space="0" w:color="FFFFFF"/>
              <w:left w:val="single" w:sz="1" w:space="0" w:color="7090B0"/>
              <w:bottom w:val="none" w:sz="0" w:space="0" w:color="FFFFFF"/>
              <w:right w:val="none" w:sz="0" w:space="0" w:color="FFFFFF"/>
            </w:tcBorders>
            <w:shd w:val="clear" w:color="auto" w:fill="0A3070"/>
            <w:tcMar>
              <w:top w:w="280" w:type="dxa"/>
              <w:left w:w="300" w:type="dxa"/>
              <w:bottom w:w="280" w:type="dxa"/>
              <w:right w:w="300" w:type="dxa"/>
            </w:tcMar>
          </w:tcPr>
          <w:p w14:paraId="2EB369D6" w14:textId="77777777" w:rsidR="00F95D02" w:rsidRDefault="00000000">
            <w:pPr>
              <w:spacing w:after="40"/>
              <w:jc w:val="center"/>
            </w:pPr>
            <w:r>
              <w:rPr>
                <w:b/>
                <w:bCs/>
                <w:color w:val="FFFFFF"/>
                <w:sz w:val="38"/>
                <w:szCs w:val="38"/>
              </w:rPr>
              <w:t>13,000 SF</w:t>
            </w:r>
          </w:p>
          <w:p w14:paraId="33EFF768" w14:textId="77777777" w:rsidR="00F95D02" w:rsidRDefault="00000000">
            <w:pPr>
              <w:jc w:val="center"/>
            </w:pPr>
            <w:r>
              <w:rPr>
                <w:color w:val="9AB8D8"/>
                <w:sz w:val="18"/>
                <w:szCs w:val="18"/>
              </w:rPr>
              <w:t>Min. Lot Size</w:t>
            </w:r>
          </w:p>
        </w:tc>
        <w:tc>
          <w:tcPr>
            <w:tcW w:w="0" w:type="auto"/>
            <w:tcBorders>
              <w:top w:val="none" w:sz="0" w:space="0" w:color="FFFFFF"/>
              <w:left w:val="single" w:sz="1" w:space="0" w:color="7090B0"/>
              <w:bottom w:val="none" w:sz="0" w:space="0" w:color="FFFFFF"/>
              <w:right w:val="none" w:sz="0" w:space="0" w:color="FFFFFF"/>
            </w:tcBorders>
            <w:shd w:val="clear" w:color="auto" w:fill="0A3070"/>
            <w:tcMar>
              <w:top w:w="280" w:type="dxa"/>
              <w:left w:w="300" w:type="dxa"/>
              <w:bottom w:w="280" w:type="dxa"/>
              <w:right w:w="300" w:type="dxa"/>
            </w:tcMar>
          </w:tcPr>
          <w:p w14:paraId="17F32142" w14:textId="48DC8A8A" w:rsidR="00F95D02" w:rsidRDefault="00000000">
            <w:pPr>
              <w:spacing w:after="40"/>
              <w:jc w:val="center"/>
            </w:pPr>
            <w:r>
              <w:rPr>
                <w:b/>
                <w:bCs/>
                <w:color w:val="FFFFFF"/>
                <w:sz w:val="38"/>
                <w:szCs w:val="38"/>
              </w:rPr>
              <w:t>140 Lots</w:t>
            </w:r>
          </w:p>
          <w:p w14:paraId="654F9799" w14:textId="77777777" w:rsidR="00F95D02" w:rsidRDefault="00000000">
            <w:pPr>
              <w:jc w:val="center"/>
            </w:pPr>
            <w:r>
              <w:rPr>
                <w:color w:val="9AB8D8"/>
                <w:sz w:val="18"/>
                <w:szCs w:val="18"/>
              </w:rPr>
              <w:t>Est. Lot Yield</w:t>
            </w:r>
          </w:p>
        </w:tc>
      </w:tr>
    </w:tbl>
    <w:p w14:paraId="40031F5C" w14:textId="77777777" w:rsidR="00F95D02" w:rsidRDefault="00F95D02">
      <w:pPr>
        <w:spacing w:after="200"/>
      </w:pPr>
    </w:p>
    <w:p w14:paraId="52D6EA62" w14:textId="77777777" w:rsidR="00F95D02" w:rsidRDefault="00000000">
      <w:pPr>
        <w:spacing w:before="240" w:after="80"/>
      </w:pPr>
      <w:r>
        <w:rPr>
          <w:b/>
          <w:bCs/>
          <w:color w:val="012169"/>
          <w:spacing w:val="40"/>
          <w:sz w:val="20"/>
          <w:szCs w:val="20"/>
        </w:rPr>
        <w:t>INVESTMENT OVERVIEW</w:t>
      </w:r>
    </w:p>
    <w:p w14:paraId="19EA82E7" w14:textId="77777777" w:rsidR="00F95D02" w:rsidRDefault="00F95D02">
      <w:pPr>
        <w:pBdr>
          <w:bottom w:val="single" w:sz="12" w:space="1" w:color="012169"/>
        </w:pBdr>
        <w:spacing w:before="40" w:after="160"/>
      </w:pPr>
    </w:p>
    <w:p w14:paraId="54AC8E77" w14:textId="77777777" w:rsidR="00F95D02" w:rsidRDefault="00000000">
      <w:pPr>
        <w:spacing w:after="80"/>
      </w:pPr>
      <w:r>
        <w:rPr>
          <w:color w:val="333333"/>
        </w:rPr>
        <w:t>An exceptional large-lot residential development opportunity has emerged on the southwest edge of Eaton, Ohio — a growing Preble County seat with strong school district ties, low land costs, and expanding infrastructure capacity. This 53.77-acre site fronts State Route 732 (Camden Road) and sits adjacent to the Eaton Community School campus, making it one of the most strategically positioned parcels available in the market today.</w:t>
      </w:r>
    </w:p>
    <w:p w14:paraId="7AE24E0F" w14:textId="77777777" w:rsidR="00F95D02" w:rsidRDefault="00F95D02">
      <w:pPr>
        <w:spacing w:after="80"/>
      </w:pPr>
    </w:p>
    <w:p w14:paraId="56D985B1" w14:textId="77777777" w:rsidR="00F95D02" w:rsidRDefault="00000000">
      <w:pPr>
        <w:spacing w:after="80"/>
      </w:pPr>
      <w:r>
        <w:rPr>
          <w:color w:val="333333"/>
        </w:rPr>
        <w:t>The City of Eaton has indicated a preferred rezoning path to R-1A Single Family, requiring 13,000 SF minimum lot sizes — a designation well-suited for a quality, large-lot subdivision product targeting buyers relocating from the greater Dayton MSA. With both water and sewer utilities already stubbed to the property, infrastructure costs are dramatically de-risked compared to typical greenfield sites of this scale.</w:t>
      </w:r>
    </w:p>
    <w:p w14:paraId="71EAB4E2" w14:textId="77777777" w:rsidR="00F95D02" w:rsidRDefault="00F95D02">
      <w:pPr>
        <w:spacing w:after="160"/>
      </w:pPr>
    </w:p>
    <w:p w14:paraId="542A3D48" w14:textId="77777777" w:rsidR="00F95D02" w:rsidRDefault="00000000">
      <w:pPr>
        <w:spacing w:before="240" w:after="80"/>
      </w:pPr>
      <w:r>
        <w:rPr>
          <w:b/>
          <w:bCs/>
          <w:color w:val="012169"/>
          <w:spacing w:val="40"/>
          <w:sz w:val="20"/>
          <w:szCs w:val="20"/>
        </w:rPr>
        <w:t>PROPERTY HIGHLIGHTS</w:t>
      </w:r>
    </w:p>
    <w:p w14:paraId="737DE4AB" w14:textId="77777777" w:rsidR="00F95D02" w:rsidRDefault="00F95D02">
      <w:pPr>
        <w:pBdr>
          <w:bottom w:val="single" w:sz="12" w:space="1" w:color="012169"/>
        </w:pBdr>
        <w:spacing w:before="40" w:after="1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F95D02" w14:paraId="3EDC505C" w14:textId="77777777">
        <w:tblPrEx>
          <w:tblCellMar>
            <w:top w:w="0" w:type="dxa"/>
            <w:bottom w:w="0" w:type="dxa"/>
          </w:tblCellMar>
        </w:tblPrEx>
        <w:tc>
          <w:tcPr>
            <w:tcW w:w="4560" w:type="dxa"/>
            <w:tcBorders>
              <w:top w:val="none" w:sz="0" w:space="0" w:color="FFFFFF"/>
              <w:left w:val="none" w:sz="0" w:space="0" w:color="FFFFFF"/>
              <w:bottom w:val="none" w:sz="0" w:space="0" w:color="FFFFFF"/>
              <w:right w:val="none" w:sz="0" w:space="0" w:color="FFFFFF"/>
            </w:tcBorders>
            <w:tcMar>
              <w:top w:w="120" w:type="dxa"/>
              <w:left w:w="0" w:type="dxa"/>
              <w:bottom w:w="120" w:type="dxa"/>
              <w:right w:w="300" w:type="dxa"/>
            </w:tcMar>
          </w:tcPr>
          <w:p w14:paraId="3FBA7B71" w14:textId="77777777" w:rsidR="00F95D02" w:rsidRDefault="00000000">
            <w:pPr>
              <w:pStyle w:val="ListParagraph"/>
              <w:numPr>
                <w:ilvl w:val="0"/>
                <w:numId w:val="2"/>
              </w:numPr>
              <w:spacing w:after="80"/>
            </w:pPr>
            <w:r>
              <w:rPr>
                <w:color w:val="333333"/>
              </w:rPr>
              <w:t>53.77 acres — two contiguous parcels</w:t>
            </w:r>
          </w:p>
          <w:p w14:paraId="701E7989" w14:textId="77777777" w:rsidR="00F95D02" w:rsidRDefault="00000000">
            <w:pPr>
              <w:pStyle w:val="ListParagraph"/>
              <w:numPr>
                <w:ilvl w:val="0"/>
                <w:numId w:val="2"/>
              </w:numPr>
              <w:spacing w:after="80"/>
            </w:pPr>
            <w:r>
              <w:rPr>
                <w:color w:val="333333"/>
              </w:rPr>
              <w:t>Frontage on State Route 732 (Camden Road)</w:t>
            </w:r>
          </w:p>
          <w:p w14:paraId="5C2974A7" w14:textId="77777777" w:rsidR="00F95D02" w:rsidRDefault="00000000">
            <w:pPr>
              <w:pStyle w:val="ListParagraph"/>
              <w:numPr>
                <w:ilvl w:val="0"/>
                <w:numId w:val="2"/>
              </w:numPr>
              <w:spacing w:after="80"/>
            </w:pPr>
            <w:r>
              <w:rPr>
                <w:color w:val="333333"/>
              </w:rPr>
              <w:t>City of Eaton limits — SW quadrant</w:t>
            </w:r>
          </w:p>
          <w:p w14:paraId="3D6D1C7C" w14:textId="77777777" w:rsidR="00F95D02" w:rsidRDefault="00000000">
            <w:pPr>
              <w:pStyle w:val="ListParagraph"/>
              <w:numPr>
                <w:ilvl w:val="0"/>
                <w:numId w:val="2"/>
              </w:numPr>
              <w:spacing w:after="80"/>
            </w:pPr>
            <w:r>
              <w:rPr>
                <w:color w:val="333333"/>
              </w:rPr>
              <w:t>8" sewer main already on-site</w:t>
            </w:r>
          </w:p>
          <w:p w14:paraId="1DEA9784" w14:textId="77777777" w:rsidR="00F95D02" w:rsidRDefault="00000000">
            <w:pPr>
              <w:pStyle w:val="ListParagraph"/>
              <w:numPr>
                <w:ilvl w:val="0"/>
                <w:numId w:val="2"/>
              </w:numPr>
              <w:spacing w:after="80"/>
            </w:pPr>
            <w:r>
              <w:rPr>
                <w:color w:val="333333"/>
              </w:rPr>
              <w:t>12" water main already on-site</w:t>
            </w:r>
          </w:p>
          <w:p w14:paraId="4BC36DF5" w14:textId="77777777" w:rsidR="00F95D02" w:rsidRDefault="00000000">
            <w:pPr>
              <w:pStyle w:val="ListParagraph"/>
              <w:numPr>
                <w:ilvl w:val="0"/>
                <w:numId w:val="2"/>
              </w:numPr>
              <w:spacing w:after="80"/>
            </w:pPr>
            <w:r>
              <w:rPr>
                <w:color w:val="333333"/>
              </w:rPr>
              <w:t>Adjacent to Eaton Community Schools campus</w:t>
            </w:r>
          </w:p>
        </w:tc>
        <w:tc>
          <w:tcPr>
            <w:tcW w:w="4560" w:type="dxa"/>
            <w:tcBorders>
              <w:top w:val="none" w:sz="0" w:space="0" w:color="FFFFFF"/>
              <w:left w:val="single" w:sz="1" w:space="0" w:color="DDDDDD"/>
              <w:bottom w:val="none" w:sz="0" w:space="0" w:color="FFFFFF"/>
              <w:right w:val="none" w:sz="0" w:space="0" w:color="FFFFFF"/>
            </w:tcBorders>
            <w:tcMar>
              <w:top w:w="120" w:type="dxa"/>
              <w:left w:w="300" w:type="dxa"/>
              <w:bottom w:w="120" w:type="dxa"/>
              <w:right w:w="0" w:type="dxa"/>
            </w:tcMar>
          </w:tcPr>
          <w:p w14:paraId="235E2307" w14:textId="77777777" w:rsidR="00F95D02" w:rsidRDefault="00000000">
            <w:pPr>
              <w:pStyle w:val="ListParagraph"/>
              <w:numPr>
                <w:ilvl w:val="0"/>
                <w:numId w:val="2"/>
              </w:numPr>
              <w:spacing w:after="80"/>
            </w:pPr>
            <w:r>
              <w:rPr>
                <w:color w:val="333333"/>
              </w:rPr>
              <w:t>City-indicated R-1A rezoning path</w:t>
            </w:r>
          </w:p>
          <w:p w14:paraId="6D7280E8" w14:textId="77777777" w:rsidR="00F95D02" w:rsidRDefault="00000000">
            <w:pPr>
              <w:pStyle w:val="ListParagraph"/>
              <w:numPr>
                <w:ilvl w:val="0"/>
                <w:numId w:val="2"/>
              </w:numPr>
              <w:spacing w:after="80"/>
            </w:pPr>
            <w:r>
              <w:rPr>
                <w:color w:val="333333"/>
              </w:rPr>
              <w:t>13,000 SF minimum lot size requirement</w:t>
            </w:r>
          </w:p>
          <w:p w14:paraId="5CC83B6A" w14:textId="77777777" w:rsidR="00F95D02" w:rsidRDefault="00000000">
            <w:pPr>
              <w:pStyle w:val="ListParagraph"/>
              <w:numPr>
                <w:ilvl w:val="0"/>
                <w:numId w:val="2"/>
              </w:numPr>
              <w:spacing w:after="80"/>
            </w:pPr>
            <w:r>
              <w:rPr>
                <w:color w:val="333333"/>
              </w:rPr>
              <w:t xml:space="preserve">Estimated yield: ~130–145 developable </w:t>
            </w:r>
            <w:proofErr w:type="gramStart"/>
            <w:r>
              <w:rPr>
                <w:color w:val="333333"/>
              </w:rPr>
              <w:t>lots</w:t>
            </w:r>
            <w:proofErr w:type="gramEnd"/>
          </w:p>
          <w:p w14:paraId="089C4A5F" w14:textId="77777777" w:rsidR="00F95D02" w:rsidRDefault="00000000">
            <w:pPr>
              <w:pStyle w:val="ListParagraph"/>
              <w:numPr>
                <w:ilvl w:val="0"/>
                <w:numId w:val="2"/>
              </w:numPr>
              <w:spacing w:after="80"/>
            </w:pPr>
            <w:r>
              <w:rPr>
                <w:color w:val="333333"/>
              </w:rPr>
              <w:t>Low Preble County land cost basis</w:t>
            </w:r>
          </w:p>
          <w:p w14:paraId="6EDDD176" w14:textId="77777777" w:rsidR="00F95D02" w:rsidRDefault="00000000">
            <w:pPr>
              <w:pStyle w:val="ListParagraph"/>
              <w:numPr>
                <w:ilvl w:val="0"/>
                <w:numId w:val="2"/>
              </w:numPr>
              <w:spacing w:after="80"/>
            </w:pPr>
            <w:r>
              <w:rPr>
                <w:color w:val="333333"/>
              </w:rPr>
              <w:t>Approximately 30 miles SW of Dayton, OH</w:t>
            </w:r>
          </w:p>
          <w:p w14:paraId="4EB9897D" w14:textId="77777777" w:rsidR="00F95D02" w:rsidRDefault="00000000">
            <w:pPr>
              <w:pStyle w:val="ListParagraph"/>
              <w:numPr>
                <w:ilvl w:val="0"/>
                <w:numId w:val="2"/>
              </w:numPr>
              <w:spacing w:after="80"/>
            </w:pPr>
            <w:r>
              <w:rPr>
                <w:color w:val="333333"/>
              </w:rPr>
              <w:t>Proximity to US-35 and I-70 corridors</w:t>
            </w:r>
          </w:p>
        </w:tc>
      </w:tr>
    </w:tbl>
    <w:p w14:paraId="2503ABFF" w14:textId="77777777" w:rsidR="00F95D02" w:rsidRDefault="00F95D02">
      <w:pPr>
        <w:spacing w:after="200"/>
      </w:pPr>
    </w:p>
    <w:p w14:paraId="6AE8047C" w14:textId="77777777" w:rsidR="0016771E" w:rsidRDefault="0016771E">
      <w:pPr>
        <w:spacing w:before="240" w:after="80"/>
        <w:rPr>
          <w:b/>
          <w:bCs/>
          <w:color w:val="012169"/>
          <w:spacing w:val="40"/>
          <w:sz w:val="20"/>
          <w:szCs w:val="20"/>
        </w:rPr>
      </w:pPr>
    </w:p>
    <w:p w14:paraId="18EA0F8F" w14:textId="4FBB98F6" w:rsidR="00F95D02" w:rsidRDefault="00000000">
      <w:pPr>
        <w:spacing w:before="240" w:after="80"/>
      </w:pPr>
      <w:r>
        <w:rPr>
          <w:b/>
          <w:bCs/>
          <w:color w:val="012169"/>
          <w:spacing w:val="40"/>
          <w:sz w:val="20"/>
          <w:szCs w:val="20"/>
        </w:rPr>
        <w:lastRenderedPageBreak/>
        <w:t>PROPERTY DETAILS</w:t>
      </w:r>
    </w:p>
    <w:p w14:paraId="6663A415" w14:textId="77777777" w:rsidR="00F95D02" w:rsidRDefault="00F95D02">
      <w:pPr>
        <w:pBdr>
          <w:bottom w:val="single" w:sz="12" w:space="1" w:color="012169"/>
        </w:pBdr>
        <w:spacing w:before="40" w:after="1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F95D02" w14:paraId="4538C41B"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179AB03E" w14:textId="77777777" w:rsidR="00F95D02" w:rsidRDefault="00000000">
            <w:r>
              <w:rPr>
                <w:b/>
                <w:bCs/>
                <w:color w:val="012169"/>
                <w:sz w:val="20"/>
                <w:szCs w:val="20"/>
              </w:rPr>
              <w:t>Address / Location</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2468029B" w14:textId="77777777" w:rsidR="00F95D02" w:rsidRDefault="00000000">
            <w:r>
              <w:rPr>
                <w:color w:val="333333"/>
                <w:sz w:val="20"/>
                <w:szCs w:val="20"/>
              </w:rPr>
              <w:t>State Route 732 (Camden Road), Eaton, OH 45320</w:t>
            </w:r>
          </w:p>
        </w:tc>
      </w:tr>
      <w:tr w:rsidR="00F95D02" w14:paraId="08B6F72D"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C82ACF" w14:textId="77777777" w:rsidR="00F95D02" w:rsidRDefault="00000000">
            <w:r>
              <w:rPr>
                <w:b/>
                <w:bCs/>
                <w:color w:val="012169"/>
                <w:sz w:val="20"/>
                <w:szCs w:val="20"/>
              </w:rPr>
              <w:t>County</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1F095C" w14:textId="77777777" w:rsidR="00F95D02" w:rsidRDefault="00000000">
            <w:r>
              <w:rPr>
                <w:color w:val="333333"/>
                <w:sz w:val="20"/>
                <w:szCs w:val="20"/>
              </w:rPr>
              <w:t>Preble County, Ohio</w:t>
            </w:r>
          </w:p>
        </w:tc>
      </w:tr>
      <w:tr w:rsidR="00F95D02" w14:paraId="0ABF7543"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6E352A46" w14:textId="77777777" w:rsidR="00F95D02" w:rsidRDefault="00000000">
            <w:r>
              <w:rPr>
                <w:b/>
                <w:bCs/>
                <w:color w:val="012169"/>
                <w:sz w:val="20"/>
                <w:szCs w:val="20"/>
              </w:rPr>
              <w:t>Parcel Numbers</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08A3B0BA" w14:textId="77777777" w:rsidR="00F95D02" w:rsidRDefault="00000000">
            <w:r>
              <w:rPr>
                <w:color w:val="333333"/>
                <w:sz w:val="20"/>
                <w:szCs w:val="20"/>
              </w:rPr>
              <w:t>M400006119000 01000, 01001, 01002 &amp; M400006119000 02000</w:t>
            </w:r>
          </w:p>
        </w:tc>
      </w:tr>
      <w:tr w:rsidR="00F95D02" w14:paraId="5E568599"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024CD3" w14:textId="77777777" w:rsidR="00F95D02" w:rsidRDefault="00000000">
            <w:r>
              <w:rPr>
                <w:b/>
                <w:bCs/>
                <w:color w:val="012169"/>
                <w:sz w:val="20"/>
                <w:szCs w:val="20"/>
              </w:rPr>
              <w:t>Total Acreage</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4A3169" w14:textId="77777777" w:rsidR="00F95D02" w:rsidRDefault="00000000">
            <w:r>
              <w:rPr>
                <w:color w:val="333333"/>
                <w:sz w:val="20"/>
                <w:szCs w:val="20"/>
              </w:rPr>
              <w:t>53.77 Acres (Two Parcels: ±51.347 AC + 2.423 AC)</w:t>
            </w:r>
          </w:p>
        </w:tc>
      </w:tr>
      <w:tr w:rsidR="00F95D02" w14:paraId="049EC834"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38503379" w14:textId="77777777" w:rsidR="00F95D02" w:rsidRDefault="00000000">
            <w:r>
              <w:rPr>
                <w:b/>
                <w:bCs/>
                <w:color w:val="012169"/>
                <w:sz w:val="20"/>
                <w:szCs w:val="20"/>
              </w:rPr>
              <w:t>Current Zoning</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77D36A37" w14:textId="77777777" w:rsidR="00F95D02" w:rsidRDefault="00000000">
            <w:r>
              <w:rPr>
                <w:color w:val="333333"/>
                <w:sz w:val="20"/>
                <w:szCs w:val="20"/>
              </w:rPr>
              <w:t>To Be Confirmed — City Rezoning to R-1A Anticipated</w:t>
            </w:r>
          </w:p>
        </w:tc>
      </w:tr>
      <w:tr w:rsidR="00F95D02" w14:paraId="6F0E3A36"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732EE8" w14:textId="77777777" w:rsidR="00F95D02" w:rsidRDefault="00000000">
            <w:r>
              <w:rPr>
                <w:b/>
                <w:bCs/>
                <w:color w:val="012169"/>
                <w:sz w:val="20"/>
                <w:szCs w:val="20"/>
              </w:rPr>
              <w:t>Min. Lot Size (R-1A)</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DB6715" w14:textId="77777777" w:rsidR="00F95D02" w:rsidRDefault="00000000">
            <w:r>
              <w:rPr>
                <w:color w:val="333333"/>
                <w:sz w:val="20"/>
                <w:szCs w:val="20"/>
              </w:rPr>
              <w:t>13,000 Square Feet Per Lot</w:t>
            </w:r>
          </w:p>
        </w:tc>
      </w:tr>
      <w:tr w:rsidR="00F95D02" w14:paraId="59914D5C"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0FDC228E" w14:textId="77777777" w:rsidR="00F95D02" w:rsidRDefault="00000000">
            <w:r>
              <w:rPr>
                <w:b/>
                <w:bCs/>
                <w:color w:val="012169"/>
                <w:sz w:val="20"/>
                <w:szCs w:val="20"/>
              </w:rPr>
              <w:t>Estimated Lot Yield</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0B265B82" w14:textId="77777777" w:rsidR="00F95D02" w:rsidRDefault="00000000">
            <w:r>
              <w:rPr>
                <w:color w:val="333333"/>
                <w:sz w:val="20"/>
                <w:szCs w:val="20"/>
              </w:rPr>
              <w:t>~130–145 Lots (Subject to Final Engineering)</w:t>
            </w:r>
          </w:p>
        </w:tc>
      </w:tr>
      <w:tr w:rsidR="00F95D02" w14:paraId="0AE18A7F"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51B909" w14:textId="77777777" w:rsidR="00F95D02" w:rsidRDefault="00000000">
            <w:r>
              <w:rPr>
                <w:b/>
                <w:bCs/>
                <w:color w:val="012169"/>
                <w:sz w:val="20"/>
                <w:szCs w:val="20"/>
              </w:rPr>
              <w:t>Water</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345659" w14:textId="77777777" w:rsidR="00F95D02" w:rsidRDefault="00000000">
            <w:r>
              <w:rPr>
                <w:color w:val="333333"/>
                <w:sz w:val="20"/>
                <w:szCs w:val="20"/>
              </w:rPr>
              <w:t>12" Water Main — On-Site</w:t>
            </w:r>
          </w:p>
        </w:tc>
      </w:tr>
      <w:tr w:rsidR="00F95D02" w14:paraId="55DF98FF"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098AEEDA" w14:textId="77777777" w:rsidR="00F95D02" w:rsidRDefault="00000000">
            <w:r>
              <w:rPr>
                <w:b/>
                <w:bCs/>
                <w:color w:val="012169"/>
                <w:sz w:val="20"/>
                <w:szCs w:val="20"/>
              </w:rPr>
              <w:t>Sewer</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31F9C3F7" w14:textId="77777777" w:rsidR="00F95D02" w:rsidRDefault="00000000">
            <w:r>
              <w:rPr>
                <w:color w:val="333333"/>
                <w:sz w:val="20"/>
                <w:szCs w:val="20"/>
              </w:rPr>
              <w:t>8" Sewer Main — On-Site</w:t>
            </w:r>
          </w:p>
        </w:tc>
      </w:tr>
      <w:tr w:rsidR="00F95D02" w14:paraId="374087E9"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FD464D" w14:textId="77777777" w:rsidR="00F95D02" w:rsidRDefault="00000000">
            <w:r>
              <w:rPr>
                <w:b/>
                <w:bCs/>
                <w:color w:val="012169"/>
                <w:sz w:val="20"/>
                <w:szCs w:val="20"/>
              </w:rPr>
              <w:t>Frontage Road</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7EE5BD" w14:textId="77777777" w:rsidR="00F95D02" w:rsidRDefault="00000000">
            <w:r>
              <w:rPr>
                <w:color w:val="333333"/>
                <w:sz w:val="20"/>
                <w:szCs w:val="20"/>
              </w:rPr>
              <w:t>State Route 732 (Camden Road)</w:t>
            </w:r>
          </w:p>
        </w:tc>
      </w:tr>
      <w:tr w:rsidR="00F95D02" w14:paraId="7CFACBC1"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D5E8F5"/>
            <w:tcMar>
              <w:top w:w="80" w:type="dxa"/>
              <w:left w:w="120" w:type="dxa"/>
              <w:bottom w:w="80" w:type="dxa"/>
              <w:right w:w="120" w:type="dxa"/>
            </w:tcMar>
          </w:tcPr>
          <w:p w14:paraId="41AAC00C" w14:textId="77777777" w:rsidR="00F95D02" w:rsidRDefault="00000000">
            <w:r>
              <w:rPr>
                <w:b/>
                <w:bCs/>
                <w:color w:val="012169"/>
                <w:sz w:val="20"/>
                <w:szCs w:val="20"/>
              </w:rPr>
              <w:t>Nearest City</w:t>
            </w:r>
          </w:p>
        </w:tc>
        <w:tc>
          <w:tcPr>
            <w:tcW w:w="6360" w:type="dxa"/>
            <w:tcBorders>
              <w:top w:val="single" w:sz="1" w:space="0" w:color="CCCCCC"/>
              <w:left w:val="single" w:sz="1" w:space="0" w:color="CCCCCC"/>
              <w:bottom w:val="single" w:sz="1" w:space="0" w:color="CCCCCC"/>
              <w:right w:val="single" w:sz="1" w:space="0" w:color="CCCCCC"/>
            </w:tcBorders>
            <w:shd w:val="clear" w:color="auto" w:fill="EEF5FB"/>
            <w:tcMar>
              <w:top w:w="80" w:type="dxa"/>
              <w:left w:w="120" w:type="dxa"/>
              <w:bottom w:w="80" w:type="dxa"/>
              <w:right w:w="120" w:type="dxa"/>
            </w:tcMar>
          </w:tcPr>
          <w:p w14:paraId="4E96745C" w14:textId="77777777" w:rsidR="00F95D02" w:rsidRDefault="00000000">
            <w:r>
              <w:rPr>
                <w:color w:val="333333"/>
                <w:sz w:val="20"/>
                <w:szCs w:val="20"/>
              </w:rPr>
              <w:t>Eaton, OH (Preble County Seat)</w:t>
            </w:r>
          </w:p>
        </w:tc>
      </w:tr>
      <w:tr w:rsidR="00F95D02" w14:paraId="58DB4413" w14:textId="77777777">
        <w:tblPrEx>
          <w:tblCellMar>
            <w:top w:w="0" w:type="dxa"/>
            <w:bottom w:w="0" w:type="dxa"/>
          </w:tblCellMar>
        </w:tblPrEx>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679F41" w14:textId="77777777" w:rsidR="00F95D02" w:rsidRDefault="00000000">
            <w:r>
              <w:rPr>
                <w:b/>
                <w:bCs/>
                <w:color w:val="012169"/>
                <w:sz w:val="20"/>
                <w:szCs w:val="20"/>
              </w:rPr>
              <w:t>Proximity</w:t>
            </w:r>
          </w:p>
        </w:tc>
        <w:tc>
          <w:tcPr>
            <w:tcW w:w="6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5548EB" w14:textId="77777777" w:rsidR="00F95D02" w:rsidRDefault="00000000">
            <w:r>
              <w:rPr>
                <w:color w:val="333333"/>
                <w:sz w:val="20"/>
                <w:szCs w:val="20"/>
              </w:rPr>
              <w:t>±30 Miles SW of Dayton | ±8 Miles S of I-70 via US-127</w:t>
            </w:r>
          </w:p>
        </w:tc>
      </w:tr>
    </w:tbl>
    <w:p w14:paraId="6ECF6B89" w14:textId="77777777" w:rsidR="00F95D02" w:rsidRDefault="00F95D02">
      <w:pPr>
        <w:spacing w:after="200"/>
      </w:pPr>
    </w:p>
    <w:p w14:paraId="265D506C" w14:textId="77777777" w:rsidR="00F95D02" w:rsidRDefault="00000000">
      <w:pPr>
        <w:spacing w:before="240" w:after="80"/>
      </w:pPr>
      <w:r>
        <w:rPr>
          <w:b/>
          <w:bCs/>
          <w:color w:val="012169"/>
          <w:spacing w:val="40"/>
          <w:sz w:val="20"/>
          <w:szCs w:val="20"/>
        </w:rPr>
        <w:t>DEVELOPMENT NOTES</w:t>
      </w:r>
    </w:p>
    <w:p w14:paraId="64E2F70E" w14:textId="77777777" w:rsidR="00F95D02" w:rsidRDefault="00F95D02">
      <w:pPr>
        <w:pBdr>
          <w:bottom w:val="single" w:sz="12" w:space="1" w:color="012169"/>
        </w:pBdr>
        <w:spacing w:before="40" w:after="160"/>
      </w:pPr>
    </w:p>
    <w:p w14:paraId="722CBA49" w14:textId="77777777" w:rsidR="00F95D02" w:rsidRDefault="00000000">
      <w:pPr>
        <w:spacing w:after="80"/>
      </w:pPr>
      <w:r>
        <w:rPr>
          <w:b/>
          <w:bCs/>
          <w:color w:val="333333"/>
        </w:rPr>
        <w:t>Lot Yield Analysis — R-1A @ 13,000 SF Minimum</w:t>
      </w:r>
    </w:p>
    <w:p w14:paraId="38F3796E" w14:textId="77777777" w:rsidR="00F95D02" w:rsidRDefault="00F95D02">
      <w:pPr>
        <w:spacing w:after="40"/>
      </w:pPr>
    </w:p>
    <w:p w14:paraId="6F8654FD" w14:textId="77777777" w:rsidR="00F95D02" w:rsidRDefault="00000000">
      <w:pPr>
        <w:pStyle w:val="ListParagraph"/>
        <w:numPr>
          <w:ilvl w:val="0"/>
          <w:numId w:val="2"/>
        </w:numPr>
        <w:spacing w:after="60"/>
      </w:pPr>
      <w:r>
        <w:rPr>
          <w:color w:val="333333"/>
        </w:rPr>
        <w:t>Gross site area: 53.77 acres (2,342,221 SF)</w:t>
      </w:r>
    </w:p>
    <w:p w14:paraId="0F775A8F" w14:textId="77777777" w:rsidR="00F95D02" w:rsidRDefault="00000000">
      <w:pPr>
        <w:pStyle w:val="ListParagraph"/>
        <w:numPr>
          <w:ilvl w:val="0"/>
          <w:numId w:val="2"/>
        </w:numPr>
        <w:spacing w:after="60"/>
      </w:pPr>
      <w:r>
        <w:rPr>
          <w:color w:val="333333"/>
        </w:rPr>
        <w:t>Estimated net developable (after ROW, stormwater, open space ~25%): ±40.3 acres (1,756,000 SF)</w:t>
      </w:r>
    </w:p>
    <w:p w14:paraId="70D9E1F5" w14:textId="77777777" w:rsidR="00F95D02" w:rsidRDefault="00000000">
      <w:pPr>
        <w:pStyle w:val="ListParagraph"/>
        <w:numPr>
          <w:ilvl w:val="0"/>
          <w:numId w:val="2"/>
        </w:numPr>
        <w:spacing w:after="60"/>
      </w:pPr>
      <w:r>
        <w:rPr>
          <w:color w:val="333333"/>
        </w:rPr>
        <w:t>Gross theoretical yield at 13,000 SF/lot: ~135 lots</w:t>
      </w:r>
    </w:p>
    <w:p w14:paraId="71BE752D" w14:textId="77777777" w:rsidR="00F95D02" w:rsidRDefault="00000000">
      <w:pPr>
        <w:pStyle w:val="ListParagraph"/>
        <w:numPr>
          <w:ilvl w:val="0"/>
          <w:numId w:val="2"/>
        </w:numPr>
        <w:spacing w:after="60"/>
      </w:pPr>
      <w:r>
        <w:rPr>
          <w:color w:val="333333"/>
        </w:rPr>
        <w:t>Final lot count subject to utility layout, detention basin sizing, and final plat engineering</w:t>
      </w:r>
    </w:p>
    <w:p w14:paraId="32A2453F" w14:textId="77777777" w:rsidR="00F95D02" w:rsidRDefault="00F95D02">
      <w:pPr>
        <w:spacing w:after="120"/>
      </w:pPr>
    </w:p>
    <w:p w14:paraId="16474C25" w14:textId="77777777" w:rsidR="00F95D02" w:rsidRDefault="00000000">
      <w:pPr>
        <w:spacing w:after="80"/>
      </w:pPr>
      <w:r>
        <w:rPr>
          <w:b/>
          <w:bCs/>
          <w:color w:val="333333"/>
        </w:rPr>
        <w:t>Utility Status</w:t>
      </w:r>
    </w:p>
    <w:p w14:paraId="4840DB24" w14:textId="77777777" w:rsidR="00F95D02" w:rsidRDefault="00F95D02">
      <w:pPr>
        <w:spacing w:after="40"/>
      </w:pPr>
    </w:p>
    <w:p w14:paraId="7B23DAA7" w14:textId="77777777" w:rsidR="00F95D02" w:rsidRDefault="00000000">
      <w:pPr>
        <w:pStyle w:val="ListParagraph"/>
        <w:numPr>
          <w:ilvl w:val="0"/>
          <w:numId w:val="2"/>
        </w:numPr>
        <w:spacing w:after="60"/>
      </w:pPr>
      <w:r>
        <w:rPr>
          <w:color w:val="333333"/>
        </w:rPr>
        <w:t>8-inch sanitary sewer main already extended and on-site — eliminates major infrastructure cost and timeline risk</w:t>
      </w:r>
    </w:p>
    <w:p w14:paraId="29882C0F" w14:textId="77777777" w:rsidR="00F95D02" w:rsidRDefault="00000000">
      <w:pPr>
        <w:pStyle w:val="ListParagraph"/>
        <w:numPr>
          <w:ilvl w:val="0"/>
          <w:numId w:val="2"/>
        </w:numPr>
        <w:spacing w:after="60"/>
      </w:pPr>
      <w:r>
        <w:rPr>
          <w:color w:val="333333"/>
        </w:rPr>
        <w:t>12-inch water main already extended and on-site — full domestic and fire suppression capacity</w:t>
      </w:r>
    </w:p>
    <w:p w14:paraId="680F0ACC" w14:textId="77777777" w:rsidR="00F95D02" w:rsidRDefault="00000000">
      <w:pPr>
        <w:pStyle w:val="ListParagraph"/>
        <w:numPr>
          <w:ilvl w:val="0"/>
          <w:numId w:val="2"/>
        </w:numPr>
        <w:spacing w:after="60"/>
      </w:pPr>
      <w:r>
        <w:rPr>
          <w:color w:val="333333"/>
        </w:rPr>
        <w:t xml:space="preserve">Buyer to verify service capacity, tap fees, and connection terms with City of Eaton utilities </w:t>
      </w:r>
      <w:proofErr w:type="gramStart"/>
      <w:r>
        <w:rPr>
          <w:color w:val="333333"/>
        </w:rPr>
        <w:t>department</w:t>
      </w:r>
      <w:proofErr w:type="gramEnd"/>
    </w:p>
    <w:p w14:paraId="241E1BAA" w14:textId="77777777" w:rsidR="00F95D02" w:rsidRDefault="00F95D02">
      <w:pPr>
        <w:spacing w:after="120"/>
      </w:pPr>
    </w:p>
    <w:p w14:paraId="3217FD49" w14:textId="77777777" w:rsidR="00F95D02" w:rsidRDefault="00000000">
      <w:pPr>
        <w:spacing w:after="80"/>
      </w:pPr>
      <w:r>
        <w:rPr>
          <w:b/>
          <w:bCs/>
          <w:color w:val="333333"/>
        </w:rPr>
        <w:t>Zoning &amp; Entitlement Path</w:t>
      </w:r>
    </w:p>
    <w:p w14:paraId="5D5C99A8" w14:textId="77777777" w:rsidR="00F95D02" w:rsidRDefault="00F95D02">
      <w:pPr>
        <w:spacing w:after="40"/>
      </w:pPr>
    </w:p>
    <w:p w14:paraId="447FAE74" w14:textId="77777777" w:rsidR="00F95D02" w:rsidRDefault="00000000">
      <w:pPr>
        <w:pStyle w:val="ListParagraph"/>
        <w:numPr>
          <w:ilvl w:val="0"/>
          <w:numId w:val="2"/>
        </w:numPr>
        <w:spacing w:after="60"/>
      </w:pPr>
      <w:r>
        <w:rPr>
          <w:color w:val="333333"/>
        </w:rPr>
        <w:t>City of Eaton has communicated preference for R-1A Single Family rezoning given proximity to Eaton Community Schools</w:t>
      </w:r>
    </w:p>
    <w:p w14:paraId="71546B9C" w14:textId="77777777" w:rsidR="00F95D02" w:rsidRDefault="00000000">
      <w:pPr>
        <w:pStyle w:val="ListParagraph"/>
        <w:numPr>
          <w:ilvl w:val="0"/>
          <w:numId w:val="2"/>
        </w:numPr>
        <w:spacing w:after="60"/>
      </w:pPr>
      <w:r>
        <w:rPr>
          <w:color w:val="333333"/>
        </w:rPr>
        <w:t>Buyer to confirm rezoning timeline and process directly with City of Eaton Planning &amp; Zoning</w:t>
      </w:r>
    </w:p>
    <w:p w14:paraId="4EB126D9" w14:textId="77777777" w:rsidR="00F95D02" w:rsidRDefault="00000000">
      <w:pPr>
        <w:pStyle w:val="ListParagraph"/>
        <w:numPr>
          <w:ilvl w:val="0"/>
          <w:numId w:val="2"/>
        </w:numPr>
        <w:spacing w:after="60"/>
      </w:pPr>
      <w:r>
        <w:rPr>
          <w:color w:val="333333"/>
        </w:rPr>
        <w:t>No current plat approval — ground-up entitlement opportunity with supportive municipal context</w:t>
      </w:r>
    </w:p>
    <w:p w14:paraId="7D2C3150" w14:textId="77777777" w:rsidR="00F95D02" w:rsidRDefault="00F95D02">
      <w:pPr>
        <w:spacing w:after="200"/>
      </w:pPr>
    </w:p>
    <w:p w14:paraId="7A852B8A" w14:textId="77777777" w:rsidR="0016771E" w:rsidRDefault="0016771E">
      <w:pPr>
        <w:spacing w:before="240" w:after="80"/>
        <w:rPr>
          <w:b/>
          <w:bCs/>
          <w:color w:val="012169"/>
          <w:spacing w:val="40"/>
          <w:sz w:val="20"/>
          <w:szCs w:val="20"/>
        </w:rPr>
      </w:pPr>
    </w:p>
    <w:p w14:paraId="236CCC24" w14:textId="7CF267CD" w:rsidR="00F95D02" w:rsidRDefault="00000000">
      <w:pPr>
        <w:spacing w:before="240" w:after="80"/>
      </w:pPr>
      <w:r>
        <w:rPr>
          <w:b/>
          <w:bCs/>
          <w:color w:val="012169"/>
          <w:spacing w:val="40"/>
          <w:sz w:val="20"/>
          <w:szCs w:val="20"/>
        </w:rPr>
        <w:lastRenderedPageBreak/>
        <w:t>WHY EATON, OHIO</w:t>
      </w:r>
    </w:p>
    <w:p w14:paraId="1FE04125" w14:textId="77777777" w:rsidR="00F95D02" w:rsidRDefault="00F95D02">
      <w:pPr>
        <w:pBdr>
          <w:bottom w:val="single" w:sz="12" w:space="1" w:color="012169"/>
        </w:pBdr>
        <w:spacing w:before="40" w:after="160"/>
      </w:pPr>
    </w:p>
    <w:p w14:paraId="792FE787" w14:textId="77777777" w:rsidR="00F95D02" w:rsidRDefault="00000000">
      <w:pPr>
        <w:spacing w:after="80"/>
      </w:pPr>
      <w:r>
        <w:rPr>
          <w:color w:val="333333"/>
        </w:rPr>
        <w:t>Eaton serves as the county seat of Preble County and offers a compelling combination of small-town quality of life and accessible proximity to major employment centers. The Dayton MSA — one of Ohio's most active residential relocation markets — draws buyers seeking larger lots, lower taxes, and top-tier school districts. Preble County's low land cost basis, favorable tax climate, and available infrastructure make it an increasingly attractive alternative to saturated suburban submarkets closer to Dayton.</w:t>
      </w:r>
    </w:p>
    <w:p w14:paraId="3DD223FF" w14:textId="77777777" w:rsidR="00F95D02" w:rsidRDefault="00F95D02">
      <w:pPr>
        <w:spacing w:after="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F95D02" w14:paraId="640058F9" w14:textId="77777777">
        <w:tblPrEx>
          <w:tblCellMar>
            <w:top w:w="0" w:type="dxa"/>
            <w:bottom w:w="0" w:type="dxa"/>
          </w:tblCellMar>
        </w:tblPrEx>
        <w:tc>
          <w:tcPr>
            <w:tcW w:w="4560" w:type="dxa"/>
            <w:tcBorders>
              <w:top w:val="none" w:sz="0" w:space="0" w:color="FFFFFF"/>
              <w:left w:val="none" w:sz="0" w:space="0" w:color="FFFFFF"/>
              <w:bottom w:val="none" w:sz="0" w:space="0" w:color="FFFFFF"/>
              <w:right w:val="none" w:sz="0" w:space="0" w:color="FFFFFF"/>
            </w:tcBorders>
            <w:tcMar>
              <w:top w:w="120" w:type="dxa"/>
              <w:left w:w="0" w:type="dxa"/>
              <w:bottom w:w="120" w:type="dxa"/>
              <w:right w:w="300" w:type="dxa"/>
            </w:tcMar>
          </w:tcPr>
          <w:p w14:paraId="41BBD483" w14:textId="77777777" w:rsidR="00F95D02" w:rsidRDefault="00000000">
            <w:pPr>
              <w:pStyle w:val="ListParagraph"/>
              <w:numPr>
                <w:ilvl w:val="0"/>
                <w:numId w:val="2"/>
              </w:numPr>
              <w:spacing w:after="80"/>
            </w:pPr>
            <w:r>
              <w:rPr>
                <w:color w:val="333333"/>
              </w:rPr>
              <w:t xml:space="preserve">Preble County Seat — established civic </w:t>
            </w:r>
            <w:proofErr w:type="gramStart"/>
            <w:r>
              <w:rPr>
                <w:color w:val="333333"/>
              </w:rPr>
              <w:t>infrastructure</w:t>
            </w:r>
            <w:proofErr w:type="gramEnd"/>
          </w:p>
          <w:p w14:paraId="5DD48E7D" w14:textId="77777777" w:rsidR="00F95D02" w:rsidRDefault="00000000">
            <w:pPr>
              <w:pStyle w:val="ListParagraph"/>
              <w:numPr>
                <w:ilvl w:val="0"/>
                <w:numId w:val="2"/>
              </w:numPr>
              <w:spacing w:after="80"/>
            </w:pPr>
            <w:r>
              <w:rPr>
                <w:color w:val="333333"/>
              </w:rPr>
              <w:t>Eaton Community Schools — highly rated district</w:t>
            </w:r>
          </w:p>
          <w:p w14:paraId="3E6B36A4" w14:textId="77777777" w:rsidR="00F95D02" w:rsidRDefault="00000000">
            <w:pPr>
              <w:pStyle w:val="ListParagraph"/>
              <w:numPr>
                <w:ilvl w:val="0"/>
                <w:numId w:val="2"/>
              </w:numPr>
              <w:spacing w:after="80"/>
            </w:pPr>
            <w:r>
              <w:rPr>
                <w:color w:val="333333"/>
              </w:rPr>
              <w:t>Low Preble County property tax millage</w:t>
            </w:r>
          </w:p>
          <w:p w14:paraId="321BF444" w14:textId="77777777" w:rsidR="00F95D02" w:rsidRDefault="00000000">
            <w:pPr>
              <w:pStyle w:val="ListParagraph"/>
              <w:numPr>
                <w:ilvl w:val="0"/>
                <w:numId w:val="2"/>
              </w:numPr>
              <w:spacing w:after="80"/>
            </w:pPr>
            <w:r>
              <w:rPr>
                <w:color w:val="333333"/>
              </w:rPr>
              <w:t>Access to US-35 and I-70 within 10 minutes</w:t>
            </w:r>
          </w:p>
        </w:tc>
        <w:tc>
          <w:tcPr>
            <w:tcW w:w="4560" w:type="dxa"/>
            <w:tcBorders>
              <w:top w:val="none" w:sz="0" w:space="0" w:color="FFFFFF"/>
              <w:left w:val="single" w:sz="1" w:space="0" w:color="DDDDDD"/>
              <w:bottom w:val="none" w:sz="0" w:space="0" w:color="FFFFFF"/>
              <w:right w:val="none" w:sz="0" w:space="0" w:color="FFFFFF"/>
            </w:tcBorders>
            <w:tcMar>
              <w:top w:w="120" w:type="dxa"/>
              <w:left w:w="300" w:type="dxa"/>
              <w:bottom w:w="120" w:type="dxa"/>
              <w:right w:w="0" w:type="dxa"/>
            </w:tcMar>
          </w:tcPr>
          <w:p w14:paraId="7576A180" w14:textId="77777777" w:rsidR="00F95D02" w:rsidRDefault="00000000">
            <w:pPr>
              <w:pStyle w:val="ListParagraph"/>
              <w:numPr>
                <w:ilvl w:val="0"/>
                <w:numId w:val="2"/>
              </w:numPr>
              <w:spacing w:after="80"/>
            </w:pPr>
            <w:r>
              <w:rPr>
                <w:color w:val="333333"/>
              </w:rPr>
              <w:t>~30 miles to downtown Dayton employment base</w:t>
            </w:r>
          </w:p>
          <w:p w14:paraId="631EB2AB" w14:textId="77777777" w:rsidR="00F95D02" w:rsidRDefault="00000000">
            <w:pPr>
              <w:pStyle w:val="ListParagraph"/>
              <w:numPr>
                <w:ilvl w:val="0"/>
                <w:numId w:val="2"/>
              </w:numPr>
              <w:spacing w:after="80"/>
            </w:pPr>
            <w:r>
              <w:rPr>
                <w:color w:val="333333"/>
              </w:rPr>
              <w:t>~50 miles to Cincinnati metro market</w:t>
            </w:r>
          </w:p>
          <w:p w14:paraId="2BB93E09" w14:textId="77777777" w:rsidR="00F95D02" w:rsidRDefault="00000000">
            <w:pPr>
              <w:pStyle w:val="ListParagraph"/>
              <w:numPr>
                <w:ilvl w:val="0"/>
                <w:numId w:val="2"/>
              </w:numPr>
              <w:spacing w:after="80"/>
            </w:pPr>
            <w:r>
              <w:rPr>
                <w:color w:val="333333"/>
              </w:rPr>
              <w:t>Limited new large-lot residential supply in market</w:t>
            </w:r>
          </w:p>
          <w:p w14:paraId="7C8DB908" w14:textId="77777777" w:rsidR="00F95D02" w:rsidRDefault="00000000">
            <w:pPr>
              <w:pStyle w:val="ListParagraph"/>
              <w:numPr>
                <w:ilvl w:val="0"/>
                <w:numId w:val="2"/>
              </w:numPr>
              <w:spacing w:after="80"/>
            </w:pPr>
            <w:r>
              <w:rPr>
                <w:color w:val="333333"/>
              </w:rPr>
              <w:t>Active D.R. Horton &amp; regional builder interest in Preble Co.</w:t>
            </w:r>
          </w:p>
        </w:tc>
      </w:tr>
    </w:tbl>
    <w:p w14:paraId="7C62260A" w14:textId="77777777" w:rsidR="00F95D02" w:rsidRDefault="00F95D02">
      <w:pPr>
        <w:spacing w:after="240"/>
      </w:pPr>
    </w:p>
    <w:p w14:paraId="5C5A48D0" w14:textId="77777777" w:rsidR="00F95D02" w:rsidRDefault="00000000">
      <w:pPr>
        <w:spacing w:after="200"/>
      </w:pPr>
      <w:r>
        <w:rPr>
          <w:i/>
          <w:iCs/>
          <w:color w:val="888888"/>
          <w:sz w:val="16"/>
          <w:szCs w:val="16"/>
        </w:rPr>
        <w:t>This information has been obtained from sources believed to be reliable but has not been independently verified. Coldwell Banker Commercial | Heritage makes no representations or warranties as to the accuracy of this information. Interested parties are encouraged to conduct their own independent investigation. This offering is subject to withdrawal, modification, or change without notice. All lot yield estimates are approximate and subject to final engineering, platting, and municipal approval.</w:t>
      </w:r>
    </w:p>
    <w:p w14:paraId="0EA84515" w14:textId="77777777" w:rsidR="00F95D02" w:rsidRDefault="00F95D02">
      <w:pPr>
        <w:spacing w:after="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718"/>
        <w:gridCol w:w="4642"/>
      </w:tblGrid>
      <w:tr w:rsidR="00F95D02" w14:paraId="0C0BFFDD" w14:textId="77777777">
        <w:tblPrEx>
          <w:tblCellMar>
            <w:top w:w="0" w:type="dxa"/>
            <w:bottom w:w="0" w:type="dxa"/>
          </w:tblCellMar>
        </w:tblPrEx>
        <w:tc>
          <w:tcPr>
            <w:tcW w:w="0" w:type="auto"/>
            <w:tcBorders>
              <w:top w:val="none" w:sz="0" w:space="0" w:color="FFFFFF"/>
              <w:left w:val="none" w:sz="0" w:space="0" w:color="FFFFFF"/>
              <w:bottom w:val="none" w:sz="0" w:space="0" w:color="FFFFFF"/>
              <w:right w:val="none" w:sz="0" w:space="0" w:color="FFFFFF"/>
            </w:tcBorders>
            <w:shd w:val="clear" w:color="auto" w:fill="012169"/>
            <w:tcMar>
              <w:top w:w="220" w:type="dxa"/>
              <w:left w:w="400" w:type="dxa"/>
              <w:bottom w:w="220" w:type="dxa"/>
              <w:right w:w="200" w:type="dxa"/>
            </w:tcMar>
          </w:tcPr>
          <w:p w14:paraId="686EF138" w14:textId="36D4BBBA" w:rsidR="00F95D02" w:rsidRDefault="00000000">
            <w:pPr>
              <w:spacing w:after="40"/>
            </w:pPr>
            <w:r>
              <w:rPr>
                <w:b/>
                <w:bCs/>
                <w:color w:val="FFFFFF"/>
                <w:sz w:val="24"/>
                <w:szCs w:val="24"/>
              </w:rPr>
              <w:t>Pat Williams</w:t>
            </w:r>
          </w:p>
          <w:p w14:paraId="0328F333" w14:textId="77777777" w:rsidR="00F95D02" w:rsidRDefault="00000000">
            <w:pPr>
              <w:spacing w:after="40"/>
            </w:pPr>
            <w:r>
              <w:rPr>
                <w:color w:val="B0C8E8"/>
                <w:sz w:val="18"/>
                <w:szCs w:val="18"/>
              </w:rPr>
              <w:t>Vice President, Commercial Sales &amp; Leasing</w:t>
            </w:r>
          </w:p>
          <w:p w14:paraId="550696AF" w14:textId="77777777" w:rsidR="00F95D02" w:rsidRDefault="00000000">
            <w:r>
              <w:rPr>
                <w:color w:val="B0C8E8"/>
                <w:sz w:val="18"/>
                <w:szCs w:val="18"/>
              </w:rPr>
              <w:t>Coldwell Banker Commercial | Heritage</w:t>
            </w:r>
          </w:p>
        </w:tc>
        <w:tc>
          <w:tcPr>
            <w:tcW w:w="0" w:type="auto"/>
            <w:tcBorders>
              <w:top w:val="none" w:sz="0" w:space="0" w:color="FFFFFF"/>
              <w:left w:val="none" w:sz="0" w:space="0" w:color="FFFFFF"/>
              <w:bottom w:val="none" w:sz="0" w:space="0" w:color="FFFFFF"/>
              <w:right w:val="none" w:sz="0" w:space="0" w:color="FFFFFF"/>
            </w:tcBorders>
            <w:shd w:val="clear" w:color="auto" w:fill="0A3070"/>
            <w:tcMar>
              <w:top w:w="220" w:type="dxa"/>
              <w:left w:w="300" w:type="dxa"/>
              <w:bottom w:w="220" w:type="dxa"/>
              <w:right w:w="400" w:type="dxa"/>
            </w:tcMar>
            <w:vAlign w:val="center"/>
          </w:tcPr>
          <w:p w14:paraId="78CFA964" w14:textId="77777777" w:rsidR="00F95D02" w:rsidRDefault="00000000">
            <w:pPr>
              <w:spacing w:after="60"/>
              <w:jc w:val="right"/>
            </w:pPr>
            <w:r>
              <w:rPr>
                <w:b/>
                <w:bCs/>
                <w:color w:val="FFFFFF"/>
                <w:sz w:val="28"/>
                <w:szCs w:val="28"/>
              </w:rPr>
              <w:t>937.360.9952</w:t>
            </w:r>
          </w:p>
          <w:p w14:paraId="51A24ECC" w14:textId="77777777" w:rsidR="00F95D02" w:rsidRDefault="00000000">
            <w:pPr>
              <w:spacing w:after="60"/>
              <w:jc w:val="right"/>
            </w:pPr>
            <w:r>
              <w:rPr>
                <w:color w:val="9AB8D8"/>
                <w:sz w:val="17"/>
                <w:szCs w:val="17"/>
              </w:rPr>
              <w:t>patrick.williams@cbcommercial-heritage.com</w:t>
            </w:r>
          </w:p>
          <w:p w14:paraId="5AB5D07C" w14:textId="1A32AD82" w:rsidR="00F95D02" w:rsidRDefault="00F95D02">
            <w:pPr>
              <w:jc w:val="right"/>
            </w:pPr>
          </w:p>
        </w:tc>
      </w:tr>
    </w:tbl>
    <w:p w14:paraId="43637A75" w14:textId="41CB4083" w:rsidR="00573728" w:rsidRDefault="0016771E" w:rsidP="0016771E">
      <w:pPr>
        <w:jc w:val="center"/>
      </w:pPr>
      <w:r>
        <w:rPr>
          <w:noProof/>
        </w:rPr>
        <w:drawing>
          <wp:inline distT="0" distB="0" distL="0" distR="0" wp14:anchorId="2D76BFDA" wp14:editId="33AC75C5">
            <wp:extent cx="4072467" cy="939738"/>
            <wp:effectExtent l="0" t="0" r="0" b="0"/>
            <wp:docPr id="192130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01915" name="Picture 1921301915"/>
                    <pic:cNvPicPr/>
                  </pic:nvPicPr>
                  <pic:blipFill>
                    <a:blip r:embed="rId5" cstate="print">
                      <a:extLst>
                        <a:ext uri="{28A0092B-C50C-407E-A947-70E740481C1C}">
                          <a14:useLocalDpi xmlns:a14="http://schemas.microsoft.com/office/drawing/2010/main" val="0"/>
                        </a:ext>
                      </a:extLst>
                    </a:blip>
                    <a:stretch>
                      <a:fillRect/>
                    </a:stretch>
                  </pic:blipFill>
                  <pic:spPr>
                    <a:xfrm>
                      <a:off x="0" y="0"/>
                      <a:ext cx="4204138" cy="970122"/>
                    </a:xfrm>
                    <a:prstGeom prst="rect">
                      <a:avLst/>
                    </a:prstGeom>
                  </pic:spPr>
                </pic:pic>
              </a:graphicData>
            </a:graphic>
          </wp:inline>
        </w:drawing>
      </w:r>
    </w:p>
    <w:sectPr w:rsidR="00573728">
      <w:pgSz w:w="12240" w:h="15840"/>
      <w:pgMar w:top="720" w:right="1080" w:bottom="72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C30D3"/>
    <w:multiLevelType w:val="hybridMultilevel"/>
    <w:tmpl w:val="72A24F42"/>
    <w:lvl w:ilvl="0" w:tplc="2A2433EE">
      <w:start w:val="1"/>
      <w:numFmt w:val="bullet"/>
      <w:lvlText w:val="•"/>
      <w:lvlJc w:val="left"/>
      <w:pPr>
        <w:ind w:left="440" w:hanging="260"/>
      </w:pPr>
    </w:lvl>
    <w:lvl w:ilvl="1" w:tplc="BC56CF1C">
      <w:numFmt w:val="decimal"/>
      <w:lvlText w:val=""/>
      <w:lvlJc w:val="left"/>
    </w:lvl>
    <w:lvl w:ilvl="2" w:tplc="1E54007E">
      <w:numFmt w:val="decimal"/>
      <w:lvlText w:val=""/>
      <w:lvlJc w:val="left"/>
    </w:lvl>
    <w:lvl w:ilvl="3" w:tplc="2E16861A">
      <w:numFmt w:val="decimal"/>
      <w:lvlText w:val=""/>
      <w:lvlJc w:val="left"/>
    </w:lvl>
    <w:lvl w:ilvl="4" w:tplc="F7D2FE30">
      <w:numFmt w:val="decimal"/>
      <w:lvlText w:val=""/>
      <w:lvlJc w:val="left"/>
    </w:lvl>
    <w:lvl w:ilvl="5" w:tplc="452C23C4">
      <w:numFmt w:val="decimal"/>
      <w:lvlText w:val=""/>
      <w:lvlJc w:val="left"/>
    </w:lvl>
    <w:lvl w:ilvl="6" w:tplc="83EC820C">
      <w:numFmt w:val="decimal"/>
      <w:lvlText w:val=""/>
      <w:lvlJc w:val="left"/>
    </w:lvl>
    <w:lvl w:ilvl="7" w:tplc="82ACA97A">
      <w:numFmt w:val="decimal"/>
      <w:lvlText w:val=""/>
      <w:lvlJc w:val="left"/>
    </w:lvl>
    <w:lvl w:ilvl="8" w:tplc="2730E704">
      <w:numFmt w:val="decimal"/>
      <w:lvlText w:val=""/>
      <w:lvlJc w:val="left"/>
    </w:lvl>
  </w:abstractNum>
  <w:abstractNum w:abstractNumId="1" w15:restartNumberingAfterBreak="0">
    <w:nsid w:val="6DB5104C"/>
    <w:multiLevelType w:val="hybridMultilevel"/>
    <w:tmpl w:val="AC04946E"/>
    <w:lvl w:ilvl="0" w:tplc="B9488CD0">
      <w:start w:val="1"/>
      <w:numFmt w:val="bullet"/>
      <w:lvlText w:val="●"/>
      <w:lvlJc w:val="left"/>
      <w:pPr>
        <w:ind w:left="720" w:hanging="360"/>
      </w:pPr>
    </w:lvl>
    <w:lvl w:ilvl="1" w:tplc="AB542854">
      <w:start w:val="1"/>
      <w:numFmt w:val="bullet"/>
      <w:lvlText w:val="○"/>
      <w:lvlJc w:val="left"/>
      <w:pPr>
        <w:ind w:left="1440" w:hanging="360"/>
      </w:pPr>
    </w:lvl>
    <w:lvl w:ilvl="2" w:tplc="7734758A">
      <w:start w:val="1"/>
      <w:numFmt w:val="bullet"/>
      <w:lvlText w:val="■"/>
      <w:lvlJc w:val="left"/>
      <w:pPr>
        <w:ind w:left="2160" w:hanging="360"/>
      </w:pPr>
    </w:lvl>
    <w:lvl w:ilvl="3" w:tplc="B89E293E">
      <w:start w:val="1"/>
      <w:numFmt w:val="bullet"/>
      <w:lvlText w:val="●"/>
      <w:lvlJc w:val="left"/>
      <w:pPr>
        <w:ind w:left="2880" w:hanging="360"/>
      </w:pPr>
    </w:lvl>
    <w:lvl w:ilvl="4" w:tplc="B9B6EDD2">
      <w:start w:val="1"/>
      <w:numFmt w:val="bullet"/>
      <w:lvlText w:val="○"/>
      <w:lvlJc w:val="left"/>
      <w:pPr>
        <w:ind w:left="3600" w:hanging="360"/>
      </w:pPr>
    </w:lvl>
    <w:lvl w:ilvl="5" w:tplc="430CB27A">
      <w:start w:val="1"/>
      <w:numFmt w:val="bullet"/>
      <w:lvlText w:val="■"/>
      <w:lvlJc w:val="left"/>
      <w:pPr>
        <w:ind w:left="4320" w:hanging="360"/>
      </w:pPr>
    </w:lvl>
    <w:lvl w:ilvl="6" w:tplc="9FD8C5B4">
      <w:start w:val="1"/>
      <w:numFmt w:val="bullet"/>
      <w:lvlText w:val="●"/>
      <w:lvlJc w:val="left"/>
      <w:pPr>
        <w:ind w:left="5040" w:hanging="360"/>
      </w:pPr>
    </w:lvl>
    <w:lvl w:ilvl="7" w:tplc="429823D4">
      <w:start w:val="1"/>
      <w:numFmt w:val="bullet"/>
      <w:lvlText w:val="●"/>
      <w:lvlJc w:val="left"/>
      <w:pPr>
        <w:ind w:left="5760" w:hanging="360"/>
      </w:pPr>
    </w:lvl>
    <w:lvl w:ilvl="8" w:tplc="D770A22E">
      <w:start w:val="1"/>
      <w:numFmt w:val="bullet"/>
      <w:lvlText w:val="●"/>
      <w:lvlJc w:val="left"/>
      <w:pPr>
        <w:ind w:left="6480" w:hanging="360"/>
      </w:pPr>
    </w:lvl>
  </w:abstractNum>
  <w:num w:numId="1" w16cid:durableId="667443815">
    <w:abstractNumId w:val="1"/>
    <w:lvlOverride w:ilvl="0">
      <w:startOverride w:val="1"/>
    </w:lvlOverride>
  </w:num>
  <w:num w:numId="2" w16cid:durableId="204716980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D02"/>
    <w:rsid w:val="0016771E"/>
    <w:rsid w:val="00573728"/>
    <w:rsid w:val="00F95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583A0AB"/>
  <w15:docId w15:val="{B86B75A2-0880-3F47-9336-B4258D66C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713</Words>
  <Characters>4067</Characters>
  <Application>Microsoft Office Word</Application>
  <DocSecurity>0</DocSecurity>
  <Lines>33</Lines>
  <Paragraphs>9</Paragraphs>
  <ScaleCrop>false</ScaleCrop>
  <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Patrick Williams</cp:lastModifiedBy>
  <cp:revision>2</cp:revision>
  <dcterms:created xsi:type="dcterms:W3CDTF">2026-04-27T15:21:00Z</dcterms:created>
  <dcterms:modified xsi:type="dcterms:W3CDTF">2026-04-27T15:21:00Z</dcterms:modified>
</cp:coreProperties>
</file>