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sz w:val="40"/>
          <w:szCs w:val="40"/>
        </w:rPr>
        <w:t xml:space="preserve"/>
      </w:r>
    </w:p>
    <w:p>
      <w:r>
        <w:rPr>
          <w:sz w:val="40"/>
          <w:szCs w:val="40"/>
        </w:rPr>
        <w:t xml:space="preserve"/>
      </w:r>
    </w:p>
    <w:p>
      <w:pPr>
        <w:spacing w:after="120"/>
        <w:jc w:val="center"/>
      </w:pPr>
      <w:r>
        <w:rPr>
          <w:rFonts w:ascii="Arial" w:cs="Arial" w:eastAsia="Arial" w:hAnsi="Arial"/>
          <w:b/>
          <w:bCs/>
          <w:color w:val="000000"/>
          <w:spacing w:val="80"/>
          <w:sz w:val="24"/>
          <w:szCs w:val="24"/>
        </w:rPr>
        <w:t xml:space="preserve">OFFERING MEMORANDUM</w:t>
      </w:r>
    </w:p>
    <w:p>
      <w:pPr>
        <w:pBdr>
          <w:bottom w:val="single" w:color="000000" w:sz="18" w:space="1"/>
        </w:pBdr>
        <w:spacing w:after="400" w:before="0"/>
      </w:pPr>
      <w:r>
        <w:t xml:space="preserve"/>
      </w:r>
    </w:p>
    <w:p>
      <w:r>
        <w:rPr>
          <w:sz w:val="40"/>
          <w:szCs w:val="40"/>
        </w:rPr>
        <w:t xml:space="preserve"/>
      </w:r>
    </w:p>
    <w:p>
      <w:r>
        <w:rPr>
          <w:sz w:val="40"/>
          <w:szCs w:val="40"/>
        </w:rPr>
        <w:t xml:space="preserve"/>
      </w:r>
    </w:p>
    <w:p>
      <w:r>
        <w:rPr>
          <w:sz w:val="40"/>
          <w:szCs w:val="40"/>
        </w:rPr>
        <w:t xml:space="preserve"/>
      </w:r>
    </w:p>
    <w:p>
      <w:pPr>
        <w:spacing w:after="120"/>
        <w:jc w:val="center"/>
      </w:pPr>
      <w:r>
        <w:rPr>
          <w:rFonts w:ascii="Arial" w:cs="Arial" w:eastAsia="Arial" w:hAnsi="Arial"/>
          <w:b/>
          <w:bCs/>
          <w:color w:val="000000"/>
          <w:sz w:val="56"/>
          <w:szCs w:val="56"/>
        </w:rPr>
        <w:t xml:space="preserve">6067 HOLLYWOOD</w:t>
      </w:r>
    </w:p>
    <w:p>
      <w:pPr>
        <w:spacing w:after="200"/>
        <w:jc w:val="center"/>
      </w:pPr>
      <w:r>
        <w:rPr>
          <w:rFonts w:ascii="Arial" w:cs="Arial" w:eastAsia="Arial" w:hAnsi="Arial"/>
          <w:b/>
          <w:bCs/>
          <w:color w:val="000000"/>
          <w:sz w:val="56"/>
          <w:szCs w:val="56"/>
        </w:rPr>
        <w:t xml:space="preserve">BOULEVARD</w:t>
      </w:r>
    </w:p>
    <w:p>
      <w:pPr>
        <w:spacing w:after="360"/>
        <w:jc w:val="center"/>
      </w:pPr>
      <w:r>
        <w:rPr>
          <w:rFonts w:ascii="Arial" w:cs="Arial" w:eastAsia="Arial" w:hAnsi="Arial"/>
          <w:i/>
          <w:iCs/>
          <w:color w:val="1A1A1A"/>
          <w:sz w:val="24"/>
          <w:szCs w:val="24"/>
        </w:rPr>
        <w:t xml:space="preserve">Hollywood, Florida 33024</w:t>
      </w:r>
    </w:p>
    <w:p>
      <w:r>
        <w:rPr>
          <w:sz w:val="40"/>
          <w:szCs w:val="40"/>
        </w:rPr>
        <w:t xml:space="preserve"/>
      </w:r>
    </w:p>
    <w:p>
      <w:pPr>
        <w:spacing w:after="60"/>
        <w:jc w:val="center"/>
      </w:pPr>
      <w:r>
        <w:rPr>
          <w:rFonts w:ascii="Arial" w:cs="Arial" w:eastAsia="Arial" w:hAnsi="Arial"/>
          <w:color w:val="595959"/>
          <w:spacing w:val="80"/>
          <w:sz w:val="16"/>
          <w:szCs w:val="16"/>
        </w:rPr>
        <w:t xml:space="preserve">OFFERED AT</w:t>
      </w:r>
    </w:p>
    <w:p>
      <w:pPr>
        <w:spacing w:after="60"/>
        <w:jc w:val="center"/>
      </w:pPr>
      <w:r>
        <w:rPr>
          <w:rFonts w:ascii="Arial" w:cs="Arial" w:eastAsia="Arial" w:hAnsi="Arial"/>
          <w:b/>
          <w:bCs/>
          <w:color w:val="000000"/>
          <w:sz w:val="56"/>
          <w:szCs w:val="56"/>
        </w:rPr>
        <w:t xml:space="preserve">$8,750,000</w:t>
      </w:r>
    </w:p>
    <w:p>
      <w:pPr>
        <w:spacing w:after="360"/>
        <w:jc w:val="center"/>
      </w:pPr>
      <w:r>
        <w:rPr>
          <w:rFonts w:ascii="Arial" w:cs="Arial" w:eastAsia="Arial" w:hAnsi="Arial"/>
          <w:i/>
          <w:iCs/>
          <w:color w:val="595959"/>
          <w:sz w:val="20"/>
          <w:szCs w:val="20"/>
        </w:rPr>
        <w:t xml:space="preserve">$280.63 / SF  |  9.85% – 10.89% Stabilized Cap Rate</w:t>
      </w:r>
    </w:p>
    <w:p>
      <w:r>
        <w:rPr>
          <w:sz w:val="40"/>
          <w:szCs w:val="40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A1A1A" w:val="clear"/>
            <w:tcMar>
              <w:top w:type="dxa" w:w="240"/>
              <w:left w:type="dxa" w:w="80"/>
              <w:bottom w:type="dxa" w:w="240"/>
              <w:right w:type="dxa" w:w="80"/>
            </w:tcMar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8"/>
                <w:szCs w:val="28"/>
              </w:rPr>
              <w:t xml:space="preserve">31,180 SF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color w:val="FFFFFF"/>
                <w:sz w:val="16"/>
                <w:szCs w:val="16"/>
              </w:rPr>
              <w:t xml:space="preserve">BOMA-CERTIFIED RBA</w:t>
            </w:r>
          </w:p>
        </w:tc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A1A1A" w:val="clear"/>
            <w:tcMar>
              <w:top w:type="dxa" w:w="240"/>
              <w:left w:type="dxa" w:w="80"/>
              <w:bottom w:type="dxa" w:w="240"/>
              <w:right w:type="dxa" w:w="80"/>
            </w:tcMar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8"/>
                <w:szCs w:val="28"/>
              </w:rPr>
              <w:t xml:space="preserve">3 STORIES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color w:val="FFFFFF"/>
                <w:sz w:val="16"/>
                <w:szCs w:val="16"/>
              </w:rPr>
              <w:t xml:space="preserve">OFFICE / MEDICAL</w:t>
            </w:r>
          </w:p>
        </w:tc>
        <w:tc>
          <w:tcPr>
            <w:tcW w:type="dxa" w:w="312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A1A1A" w:val="clear"/>
            <w:tcMar>
              <w:top w:type="dxa" w:w="240"/>
              <w:left w:type="dxa" w:w="80"/>
              <w:bottom w:type="dxa" w:w="240"/>
              <w:right w:type="dxa" w:w="80"/>
            </w:tcMar>
          </w:tcPr>
          <w:p>
            <w:pPr>
              <w:spacing w:after="6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8"/>
                <w:szCs w:val="28"/>
              </w:rPr>
              <w:t xml:space="preserve">102 SPACES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color w:val="FFFFFF"/>
                <w:sz w:val="16"/>
                <w:szCs w:val="16"/>
              </w:rPr>
              <w:t xml:space="preserve">PARKING</w:t>
            </w:r>
          </w:p>
        </w:tc>
      </w:tr>
    </w:tbl>
    <w:p>
      <w:r>
        <w:rPr>
          <w:sz w:val="40"/>
          <w:szCs w:val="40"/>
        </w:rPr>
        <w:t xml:space="preserve"/>
      </w:r>
    </w:p>
    <w:p>
      <w:r>
        <w:rPr>
          <w:sz w:val="40"/>
          <w:szCs w:val="40"/>
        </w:rPr>
        <w:t xml:space="preserve"/>
      </w:r>
    </w:p>
    <w:p>
      <w:r>
        <w:rPr>
          <w:sz w:val="40"/>
          <w:szCs w:val="40"/>
        </w:rPr>
        <w:t xml:space="preserve"/>
      </w:r>
    </w:p>
    <w:p>
      <w:r>
        <w:rPr>
          <w:sz w:val="40"/>
          <w:szCs w:val="40"/>
        </w:rPr>
        <w:t xml:space="preserve"/>
      </w:r>
    </w:p>
    <w:p>
      <w:pPr>
        <w:pBdr>
          <w:bottom w:val="single" w:color="000000" w:sz="18" w:space="1"/>
        </w:pBdr>
        <w:spacing w:after="120" w:before="0"/>
      </w:pPr>
      <w:r>
        <w:t xml:space="preserve"/>
      </w:r>
    </w:p>
    <w:p>
      <w:pPr>
        <w:spacing w:after="40"/>
        <w:jc w:val="center"/>
      </w:pPr>
      <w:r>
        <w:rPr>
          <w:rFonts w:ascii="Arial" w:cs="Arial" w:eastAsia="Arial" w:hAnsi="Arial"/>
          <w:b/>
          <w:bCs/>
          <w:color w:val="000000"/>
          <w:sz w:val="24"/>
          <w:szCs w:val="24"/>
        </w:rPr>
        <w:t xml:space="preserve">THE SOURCE REAL ESTATE</w:t>
      </w:r>
    </w:p>
    <w:p>
      <w:pPr>
        <w:spacing w:after="40"/>
        <w:jc w:val="center"/>
      </w:pPr>
      <w:r>
        <w:rPr>
          <w:rFonts w:ascii="Arial" w:cs="Arial" w:eastAsia="Arial" w:hAnsi="Arial"/>
          <w:color w:val="1A1A1A"/>
          <w:sz w:val="18"/>
          <w:szCs w:val="18"/>
        </w:rPr>
        <w:t xml:space="preserve">George Collazo</w:t>
      </w:r>
    </w:p>
    <w:p>
      <w:pPr>
        <w:jc w:val="center"/>
      </w:pPr>
      <w:r>
        <w:rPr>
          <w:rFonts w:ascii="Arial" w:cs="Arial" w:eastAsia="Arial" w:hAnsi="Arial"/>
          <w:b/>
          <w:bCs/>
          <w:color w:val="000000"/>
          <w:sz w:val="18"/>
          <w:szCs w:val="18"/>
        </w:rPr>
        <w:t xml:space="preserve">georgec@thesourcere.com</w:t>
      </w:r>
    </w:p>
    <w:p>
      <w:r>
        <w:br w:type="page"/>
      </w:r>
    </w:p>
    <w:p>
      <w:pPr>
        <w:spacing w:after="60" w:before="200"/>
      </w:pPr>
      <w:r>
        <w:rPr>
          <w:rFonts w:ascii="Arial" w:cs="Arial" w:eastAsia="Arial" w:hAnsi="Arial"/>
          <w:b/>
          <w:bCs/>
          <w:color w:val="000000"/>
          <w:sz w:val="28"/>
          <w:szCs w:val="28"/>
        </w:rPr>
        <w:t xml:space="preserve">THE OPPORTUNITY</w:t>
      </w:r>
    </w:p>
    <w:p>
      <w:pPr>
        <w:pBdr>
          <w:bottom w:val="single" w:color="000000" w:sz="18" w:space="1"/>
        </w:pBdr>
        <w:spacing w:after="180" w:before="0"/>
      </w:pPr>
      <w:r>
        <w:t xml:space="preserve"/>
      </w:r>
    </w:p>
    <w:p>
      <w:pPr>
        <w:spacing w:after="140" w:before="0" w:line="30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6067 Hollywood Boulevard is a 31,180 SF, three-story office and medical building on a ±1.2-acre corner site fronting Hollywood Boulevard between US-441 and Florida's Turnpike — one of South Broward's highest-traffic commercial corridors with 40,000+ daily vehicles.</w:t>
      </w:r>
    </w:p>
    <w:p>
      <w:pPr>
        <w:spacing w:after="140" w:before="0" w:line="30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The asset is offered at $8,750,000 ($280.63/SF) and presents two clear, executable value-add levers: (i) lease-up of an 8,100 SF Floor 1 anchor space at $28 – $30/SF, and (ii) delivery of an in-progress Floor 3 medical-grade build-out — 15,220 SF across 14 demisable suites — projected to lease at $35 – $42/SF NNN. Floor 2 is stabilized with eight medical and professional tenants generating $223,650 in annualized in-place gross income.</w:t>
      </w:r>
    </w:p>
    <w:p>
      <w:pPr>
        <w:spacing w:after="140" w:before="0" w:line="30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At full stabilization, the Property is projected to generate cap rates of 9.85% – 10.89% on the asking price — a meaningful spread to current South Florida medical office cap rates of 6.3% – 6.9%.</w:t>
      </w:r>
    </w:p>
    <w:p>
      <w:r>
        <w:rPr>
          <w:sz w:val="20"/>
          <w:szCs w:val="20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fill="F2F2F2" w:val="clear"/>
            <w:tcMar>
              <w:top w:type="dxa" w:w="220"/>
              <w:left w:type="dxa" w:w="280"/>
              <w:bottom w:type="dxa" w:w="220"/>
              <w:right w:type="dxa" w:w="280"/>
            </w:tcMar>
          </w:tcPr>
          <w:p>
            <w:pPr>
              <w:spacing w:after="140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INVESTMENT HIGHLIGHTS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8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31,180 SF BOMA-certified RBA on ±1.2-acre corner site with 102 parking spaces (3.27 / 1,000 SF)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8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In-place income from 8 stabilized Floor 2 tenants — $223,650 annual GSI at $27.79/SF average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8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Floor 1 vacant — 8,100 SF anchor space available at $28 – $30/SF (former Montessori; flexible use)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8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Floor 3 mid-construction — 15,220 SF turnkey medical-grade office build-out at delivery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8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S-MU zoning supports medical, professional, educational, and retail-flex uses</w:t>
            </w:r>
          </w:p>
          <w:p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Trophy Hollywood Blvd frontage between Florida's Turnpike and US-441; 40,000+ VPD</w:t>
            </w:r>
          </w:p>
        </w:tc>
      </w:tr>
    </w:tbl>
    <w:p>
      <w:r>
        <w:br w:type="page"/>
      </w:r>
    </w:p>
    <w:p>
      <w:pPr>
        <w:spacing w:after="60" w:before="200"/>
      </w:pPr>
      <w:r>
        <w:rPr>
          <w:rFonts w:ascii="Arial" w:cs="Arial" w:eastAsia="Arial" w:hAnsi="Arial"/>
          <w:b/>
          <w:bCs/>
          <w:color w:val="000000"/>
          <w:sz w:val="28"/>
          <w:szCs w:val="28"/>
        </w:rPr>
        <w:t xml:space="preserve">PROPERTY SUMMARY</w:t>
      </w:r>
    </w:p>
    <w:p>
      <w:pPr>
        <w:pBdr>
          <w:bottom w:val="single" w:color="000000" w:sz="18" w:space="1"/>
        </w:pBdr>
        <w:spacing w:after="180" w:before="0"/>
      </w:pPr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6240"/>
      </w:tblGrid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Address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6067 Hollywood Boulevard, Hollywood, FL 33024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Submarket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441 Corridor / South Broward County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Property Type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Office / Medical Office (Class B)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Year Built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1985 (renovated; F3 currently under construction)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Stories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Three (3)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Rentable Area (RBA)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31,180 SF (BOMA 2017 Method A — Florida Measures)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Land Area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Approximately 1.2 acres (±52,496 SF)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Parking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102 surface spaces (3.27 / 1,000 SF)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Zoning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S-MU — Special Mixed-Use (City of Hollywood)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Folio / APN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514113-07-0120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Real Estate Taxes (2025)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$145,205 (approx.)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Frontage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Direct frontage on Hollywood Boulevard</w:t>
            </w:r>
          </w:p>
        </w:tc>
      </w:tr>
    </w:tbl>
    <w:p>
      <w:r>
        <w:rPr>
          <w:sz w:val="40"/>
          <w:szCs w:val="40"/>
        </w:rPr>
        <w:t xml:space="preserve"/>
      </w:r>
    </w:p>
    <w:p>
      <w:pPr>
        <w:spacing w:after="80" w:before="20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Floor-by-Floor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6240"/>
      </w:tblGrid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Floor 1 — Suite 100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8,100 SF — Vacant / Available at $28 – $30/SF (former Montessori school)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Floor 2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7,860 SF leased to 8 medical &amp; professional tenants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Floor 3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15,220 SF / 14 suites — Medical-grade build-out in progress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Total RBA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31,180 SF (BOMA-certified)</w:t>
            </w:r>
          </w:p>
        </w:tc>
      </w:tr>
    </w:tbl>
    <w:p>
      <w:r>
        <w:br w:type="page"/>
      </w:r>
    </w:p>
    <w:p>
      <w:pPr>
        <w:spacing w:after="60" w:before="200"/>
      </w:pPr>
      <w:r>
        <w:rPr>
          <w:rFonts w:ascii="Arial" w:cs="Arial" w:eastAsia="Arial" w:hAnsi="Arial"/>
          <w:b/>
          <w:bCs/>
          <w:color w:val="000000"/>
          <w:sz w:val="28"/>
          <w:szCs w:val="28"/>
        </w:rPr>
        <w:t xml:space="preserve">RENT ROLL</w:t>
      </w:r>
    </w:p>
    <w:p>
      <w:pPr>
        <w:pBdr>
          <w:bottom w:val="single" w:color="000000" w:sz="18" w:space="1"/>
        </w:pBdr>
        <w:spacing w:after="180" w:before="0"/>
      </w:pPr>
      <w:r>
        <w:t xml:space="preserve"/>
      </w:r>
    </w:p>
    <w:p>
      <w:pPr>
        <w:spacing w:after="140" w:before="0" w:line="30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Floor 2 is stabilized with 8 active tenants generating $223,650 in annual gross rental income at a weighted-average rent of $27.79/SF. Tenant identities are abbreviated below and will be disclosed to qualified buyers under CA. Multiple leases include 3% – 5% annual escalations; several MTM tenants offer leasing flexibility on acquisition.</w:t>
      </w:r>
    </w:p>
    <w:p>
      <w:r>
        <w:rPr>
          <w:sz w:val="20"/>
          <w:szCs w:val="20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2400"/>
        <w:gridCol w:w="900"/>
        <w:gridCol w:w="1500"/>
        <w:gridCol w:w="1400"/>
        <w:gridCol w:w="1000"/>
        <w:gridCol w:w="1260"/>
      </w:tblGrid>
      <w:tr>
        <w:trPr>
          <w:tblHeader/>
        </w:trP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Suite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Tenant Type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SF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Lease End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Monthly Rent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$ / SF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Status</w:t>
            </w:r>
          </w:p>
        </w:tc>
      </w:tr>
      <w:t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100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1A1A1A"/>
                <w:sz w:val="14"/>
                <w:szCs w:val="14"/>
              </w:rPr>
              <w:t xml:space="preserve">VACANT — Former School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8,100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—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—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$28 – 30 ask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Available</w:t>
            </w:r>
          </w:p>
        </w:tc>
      </w:tr>
      <w:t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200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Professional Services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1,000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MTM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$1,500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$18.00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Month-to-Month</w:t>
            </w:r>
          </w:p>
        </w:tc>
      </w:tr>
      <w:t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201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Healthcare / Medical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2,100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02/28/2026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$6,125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$35.00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Active</w:t>
            </w:r>
          </w:p>
        </w:tc>
      </w:tr>
      <w:t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202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Professional Services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500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MTM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$1,000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$24.00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Month-to-Month</w:t>
            </w:r>
          </w:p>
        </w:tc>
      </w:tr>
      <w:t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203-206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Medical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2,160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03/31/2027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$4,500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$25.00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Active</w:t>
            </w:r>
          </w:p>
        </w:tc>
      </w:tr>
      <w:t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204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Healthcare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300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02/28/2028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$875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$35.00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Active</w:t>
            </w:r>
          </w:p>
        </w:tc>
      </w:tr>
      <w:t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207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Professional Services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300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02/28/2027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$750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$30.00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Renewing</w:t>
            </w:r>
          </w:p>
        </w:tc>
      </w:tr>
      <w:t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209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Healthcare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650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02/28/2027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$1,625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$30.00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Renewing</w:t>
            </w:r>
          </w:p>
        </w:tc>
      </w:tr>
      <w:t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210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Non-Profit / Office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850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02/28/2027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$1,837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$25.93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Renewing</w:t>
            </w:r>
          </w:p>
        </w:tc>
      </w:tr>
      <w:t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Parking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Parking License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—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Verbal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$426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—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Month-to-Month</w:t>
            </w:r>
          </w:p>
        </w:tc>
      </w:tr>
      <w:tr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F3 (14)</w:t>
            </w:r>
          </w:p>
        </w:tc>
        <w:tc>
          <w:tcPr>
            <w:tcW w:type="dxa" w:w="2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1A1A1A"/>
                <w:sz w:val="14"/>
                <w:szCs w:val="14"/>
              </w:rPr>
              <w:t xml:space="preserve">Medical Build-Out (in progress)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15,220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—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—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$35 – 42 proj.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Pre-Leasing</w:t>
            </w:r>
          </w:p>
        </w:tc>
      </w:tr>
      <w:tr>
        <w:tc>
          <w:tcPr>
            <w:tcW w:type="dxa" w:w="4200"/>
            <w:gridSpan w:val="2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20"/>
              <w:bottom w:type="dxa" w:w="10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TOTAL IN-PLACE (Floor 2 + Parking)</w:t>
            </w:r>
          </w:p>
        </w:tc>
        <w:tc>
          <w:tcPr>
            <w:tcW w:type="dxa" w:w="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7,860</w:t>
            </w:r>
          </w:p>
        </w:tc>
        <w:tc>
          <w:tcPr>
            <w:tcW w:type="dxa" w:w="1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—</w:t>
            </w:r>
          </w:p>
        </w:tc>
        <w:tc>
          <w:tcPr>
            <w:tcW w:type="dxa" w:w="1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$18,638</w:t>
            </w:r>
          </w:p>
        </w:tc>
        <w:tc>
          <w:tcPr>
            <w:tcW w:type="dxa" w:w="1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$27.79</w:t>
            </w:r>
          </w:p>
        </w:tc>
        <w:tc>
          <w:tcPr>
            <w:tcW w:type="dxa" w:w="12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4"/>
                <w:szCs w:val="14"/>
              </w:rPr>
              <w:t xml:space="preserve">$223,650/yr</w:t>
            </w:r>
          </w:p>
        </w:tc>
      </w:tr>
    </w:tbl>
    <w:p>
      <w:r>
        <w:br w:type="page"/>
      </w:r>
    </w:p>
    <w:p>
      <w:pPr>
        <w:spacing w:after="60" w:before="200"/>
      </w:pPr>
      <w:r>
        <w:rPr>
          <w:rFonts w:ascii="Arial" w:cs="Arial" w:eastAsia="Arial" w:hAnsi="Arial"/>
          <w:b/>
          <w:bCs/>
          <w:color w:val="000000"/>
          <w:sz w:val="28"/>
          <w:szCs w:val="28"/>
        </w:rPr>
        <w:t xml:space="preserve">MARKET COMPS</w:t>
      </w:r>
    </w:p>
    <w:p>
      <w:pPr>
        <w:pBdr>
          <w:bottom w:val="single" w:color="000000" w:sz="18" w:space="1"/>
        </w:pBdr>
        <w:spacing w:after="180" w:before="0"/>
      </w:pPr>
      <w:r>
        <w:t xml:space="preserve"/>
      </w:r>
    </w:p>
    <w:p>
      <w:pPr>
        <w:spacing w:after="140" w:before="0" w:line="30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The Floor 3 medical-grade lease projection of $35 – $42/SF NNN is supported by published submarket data and direct comparable property asking rates.</w:t>
      </w:r>
    </w:p>
    <w:p>
      <w:r>
        <w:rPr>
          <w:sz w:val="20"/>
          <w:szCs w:val="20"/>
        </w:rPr>
        <w:t xml:space="preserve"/>
      </w:r>
    </w:p>
    <w:p>
      <w:pPr>
        <w:spacing w:after="80" w:before="20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Submarket Benchmarks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00"/>
        <w:gridCol w:w="2200"/>
        <w:gridCol w:w="2660"/>
      </w:tblGrid>
      <w:tr>
        <w:trPr>
          <w:tblHeader/>
        </w:trPr>
        <w:tc>
          <w:tcPr>
            <w:tcW w:type="dxa" w:w="4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Metric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Value</w:t>
            </w:r>
          </w:p>
        </w:tc>
        <w:tc>
          <w:tcPr>
            <w:tcW w:type="dxa" w:w="26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Source</w:t>
            </w:r>
          </w:p>
        </w:tc>
      </w:tr>
      <w:tr>
        <w:tc>
          <w:tcPr>
            <w:tcW w:type="dxa" w:w="4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Broward Co. Medical Office — Avg. Asking Rent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$34.84 / SF</w:t>
            </w:r>
          </w:p>
        </w:tc>
        <w:tc>
          <w:tcPr>
            <w:tcW w:type="dxa" w:w="26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FL Medical Space, Q2 2025</w:t>
            </w:r>
          </w:p>
        </w:tc>
      </w:tr>
      <w:tr>
        <w:tc>
          <w:tcPr>
            <w:tcW w:type="dxa" w:w="4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Broward Co. MOB — Typical Range (Gross)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$34 – $36 / SF</w:t>
            </w:r>
          </w:p>
        </w:tc>
        <w:tc>
          <w:tcPr>
            <w:tcW w:type="dxa" w:w="26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Matthews REIS, Q2 2025</w:t>
            </w:r>
          </w:p>
        </w:tc>
      </w:tr>
      <w:tr>
        <w:tc>
          <w:tcPr>
            <w:tcW w:type="dxa" w:w="4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South Florida MOB — Market Rent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$40.59 / SF</w:t>
            </w:r>
          </w:p>
        </w:tc>
        <w:tc>
          <w:tcPr>
            <w:tcW w:type="dxa" w:w="26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Matthews REIS</w:t>
            </w:r>
          </w:p>
        </w:tc>
      </w:tr>
      <w:tr>
        <w:tc>
          <w:tcPr>
            <w:tcW w:type="dxa" w:w="4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Broward Co. Office — Avg. Asking Rent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$40.18 / SF</w:t>
            </w:r>
          </w:p>
        </w:tc>
        <w:tc>
          <w:tcPr>
            <w:tcW w:type="dxa" w:w="26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Avison Young, Q4 2024</w:t>
            </w:r>
          </w:p>
        </w:tc>
      </w:tr>
      <w:tr>
        <w:tc>
          <w:tcPr>
            <w:tcW w:type="dxa" w:w="4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Broward MOB — Trailing 5-Yr Rent Growth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+16.7%</w:t>
            </w:r>
          </w:p>
        </w:tc>
        <w:tc>
          <w:tcPr>
            <w:tcW w:type="dxa" w:w="26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FL Medical Space, Q2 2025</w:t>
            </w:r>
          </w:p>
        </w:tc>
      </w:tr>
      <w:tr>
        <w:tc>
          <w:tcPr>
            <w:tcW w:type="dxa" w:w="45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South Florida MOB — Avg. Cap Rate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6.3% – 6.9%</w:t>
            </w:r>
          </w:p>
        </w:tc>
        <w:tc>
          <w:tcPr>
            <w:tcW w:type="dxa" w:w="26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Matthews REIS</w:t>
            </w:r>
          </w:p>
        </w:tc>
      </w:tr>
    </w:tbl>
    <w:p>
      <w:r>
        <w:rPr>
          <w:sz w:val="40"/>
          <w:szCs w:val="40"/>
        </w:rPr>
        <w:t xml:space="preserve"/>
      </w:r>
    </w:p>
    <w:p>
      <w:pPr>
        <w:spacing w:after="80" w:before="20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Direct Comparable Properties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200"/>
        <w:gridCol w:w="1700"/>
        <w:gridCol w:w="2460"/>
      </w:tblGrid>
      <w:tr>
        <w:trPr>
          <w:tblHeader/>
        </w:trP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Property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Submarket</w:t>
            </w:r>
          </w:p>
        </w:tc>
        <w:tc>
          <w:tcPr>
            <w:tcW w:type="dxa" w:w="1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Asking $/SF</w:t>
            </w:r>
          </w:p>
        </w:tc>
        <w:tc>
          <w:tcPr>
            <w:tcW w:type="dxa" w:w="24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Note</w:t>
            </w:r>
          </w:p>
        </w:tc>
      </w:tr>
      <w:t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5701 Hollywood Blvd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441 Corridor (½ mi west)</w:t>
            </w:r>
          </w:p>
        </w:tc>
        <w:tc>
          <w:tcPr>
            <w:tcW w:type="dxa" w:w="1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$32.00 / SF</w:t>
            </w:r>
          </w:p>
        </w:tc>
        <w:tc>
          <w:tcPr>
            <w:tcW w:type="dxa" w:w="24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Plain office, no medical build-out</w:t>
            </w:r>
          </w:p>
        </w:tc>
      </w:tr>
      <w:t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3801 Hollywood Blvd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Hollywood Hills</w:t>
            </w:r>
          </w:p>
        </w:tc>
        <w:tc>
          <w:tcPr>
            <w:tcW w:type="dxa" w:w="1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$27 – $38 / SF</w:t>
            </w:r>
          </w:p>
        </w:tc>
        <w:tc>
          <w:tcPr>
            <w:tcW w:type="dxa" w:w="24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Office / medical, range by suite</w:t>
            </w:r>
          </w:p>
        </w:tc>
      </w:tr>
      <w:t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4601 Sheridan St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Hollywood — Sheridan</w:t>
            </w:r>
          </w:p>
        </w:tc>
        <w:tc>
          <w:tcPr>
            <w:tcW w:type="dxa" w:w="1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$25 – $29 / SF</w:t>
            </w:r>
          </w:p>
        </w:tc>
        <w:tc>
          <w:tcPr>
            <w:tcW w:type="dxa" w:w="24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Older 2nd-gen product</w:t>
            </w:r>
          </w:p>
        </w:tc>
      </w:tr>
      <w:t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Pembroke Pines MOB Avg.</w:t>
            </w:r>
          </w:p>
        </w:tc>
        <w:tc>
          <w:tcPr>
            <w:tcW w:type="dxa" w:w="2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S. Broward submarket</w:t>
            </w:r>
          </w:p>
        </w:tc>
        <w:tc>
          <w:tcPr>
            <w:tcW w:type="dxa" w:w="17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1A1A1A"/>
                <w:sz w:val="14"/>
                <w:szCs w:val="14"/>
              </w:rPr>
              <w:t xml:space="preserve">$27.00 / SF</w:t>
            </w:r>
          </w:p>
        </w:tc>
        <w:tc>
          <w:tcPr>
            <w:tcW w:type="dxa" w:w="24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/>
                <w:iCs/>
                <w:color w:val="1A1A1A"/>
                <w:sz w:val="14"/>
                <w:szCs w:val="14"/>
              </w:rPr>
              <w:t xml:space="preserve">Submarket avg. across 12 listings</w:t>
            </w:r>
          </w:p>
        </w:tc>
      </w:tr>
    </w:tbl>
    <w:p>
      <w:r>
        <w:rPr>
          <w:sz w:val="40"/>
          <w:szCs w:val="40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fill="F2F2F2" w:val="clear"/>
            <w:tcMar>
              <w:top w:type="dxa" w:w="220"/>
              <w:left w:type="dxa" w:w="280"/>
              <w:bottom w:type="dxa" w:w="220"/>
              <w:right w:type="dxa" w:w="280"/>
            </w:tcMar>
          </w:tcPr>
          <w:p>
            <w:pPr>
              <w:spacing w:after="100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WHY THE F3 PROJECTION HOLDS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8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Direct neighbor at 5701 Hollywood Blvd asks $32/SF for plain office — fresh medical-grade should clear this materially.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8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Floor 2 in-place medical tenants already paying $35/SF in older 2nd-gen space — new build should price above.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80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Broward MOB rents have compounded +16.7% over trailing 5 years; tailwind continues at delivery.</w:t>
            </w:r>
          </w:p>
          <w:p>
            <w:pPr>
              <w:pStyle w:val="ListParagraph"/>
              <w:numPr>
                <w:ilvl w:val="0"/>
                <w:numId w:val="2"/>
              </w:numPr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Florida commercial rent tax was repealed Oct 2025 — additional NOI lift across the state.</w:t>
            </w:r>
          </w:p>
        </w:tc>
      </w:tr>
    </w:tbl>
    <w:p>
      <w:r>
        <w:br w:type="page"/>
      </w:r>
    </w:p>
    <w:p>
      <w:pPr>
        <w:spacing w:after="60" w:before="200"/>
      </w:pPr>
      <w:r>
        <w:rPr>
          <w:rFonts w:ascii="Arial" w:cs="Arial" w:eastAsia="Arial" w:hAnsi="Arial"/>
          <w:b/>
          <w:bCs/>
          <w:color w:val="000000"/>
          <w:sz w:val="28"/>
          <w:szCs w:val="28"/>
        </w:rPr>
        <w:t xml:space="preserve">FINANCIAL SUMMARY</w:t>
      </w:r>
    </w:p>
    <w:p>
      <w:pPr>
        <w:pBdr>
          <w:bottom w:val="single" w:color="000000" w:sz="18" w:space="1"/>
        </w:pBdr>
        <w:spacing w:after="180" w:before="0"/>
      </w:pPr>
      <w:r>
        <w:t xml:space="preserve"/>
      </w:r>
    </w:p>
    <w:p>
      <w:pPr>
        <w:spacing w:after="80" w:before="20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Offering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6240"/>
      </w:tblGrid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Asking Price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$8,750,000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Price Per SF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$280.63 / SF (BOMA-certified)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Building RBA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31,180 SF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Land Area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±1.2 acres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Current Physical Occupancy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25.2% (Floor 2 leased; F1 vacant; F3 under construction)</w:t>
            </w:r>
          </w:p>
        </w:tc>
      </w:tr>
    </w:tbl>
    <w:p>
      <w:r>
        <w:rPr>
          <w:sz w:val="40"/>
          <w:szCs w:val="40"/>
        </w:rPr>
        <w:t xml:space="preserve"/>
      </w:r>
    </w:p>
    <w:p>
      <w:pPr>
        <w:spacing w:after="80" w:before="20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In-Place Income (Year 1)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6240"/>
      </w:tblGrid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Floor 2 Base Rental Income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$218,538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Parking License Income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$5,112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Total Gross Scheduled Income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8"/>
                <w:szCs w:val="18"/>
              </w:rPr>
              <w:t xml:space="preserve">$223,650</w:t>
            </w:r>
          </w:p>
        </w:tc>
      </w:tr>
      <w:tr>
        <w:tc>
          <w:tcPr>
            <w:tcW w:type="dxa" w:w="31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Real Estate Taxes (2025)</w:t>
            </w:r>
          </w:p>
        </w:tc>
        <w:tc>
          <w:tcPr>
            <w:tcW w:type="dxa" w:w="624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60"/>
              <w:bottom w:type="dxa" w:w="10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8"/>
                <w:szCs w:val="18"/>
              </w:rPr>
              <w:t xml:space="preserve">$145,205</w:t>
            </w:r>
          </w:p>
        </w:tc>
      </w:tr>
    </w:tbl>
    <w:p>
      <w:r>
        <w:rPr>
          <w:sz w:val="40"/>
          <w:szCs w:val="40"/>
        </w:rPr>
        <w:t xml:space="preserve"/>
      </w:r>
    </w:p>
    <w:p>
      <w:pPr>
        <w:spacing w:after="80" w:before="200"/>
      </w:pPr>
      <w:r>
        <w:rPr>
          <w:rFonts w:ascii="Arial" w:cs="Arial" w:eastAsia="Arial" w:hAnsi="Arial"/>
          <w:b/>
          <w:bCs/>
          <w:color w:val="000000"/>
          <w:sz w:val="22"/>
          <w:szCs w:val="22"/>
        </w:rPr>
        <w:t xml:space="preserve">Stabilized Pro Forma — Three Scenarios</w:t>
      </w:r>
    </w:p>
    <w:p>
      <w:pPr>
        <w:spacing w:after="140" w:before="0" w:line="300"/>
        <w:jc w:val="left"/>
      </w:pPr>
      <w:r>
        <w:rPr>
          <w:rFonts w:ascii="Arial" w:cs="Arial" w:eastAsia="Arial" w:hAnsi="Arial"/>
          <w:b w:val="false"/>
          <w:bCs w:val="false"/>
          <w:i w:val="false"/>
          <w:iCs w:val="false"/>
          <w:color w:val="1A1A1A"/>
          <w:sz w:val="20"/>
          <w:szCs w:val="20"/>
        </w:rPr>
        <w:t xml:space="preserve">Pro forma assumes Floor 1 leased at $29/SF and Floor 3 leased at three medical-grade rate scenarios anchored to documented submarket comparables. Floor 2 base income reflects in-place rent escalations (Year 2). NOI assumes 90% margin on EGI consistent with NNN structure for new medical leases.</w:t>
      </w:r>
    </w:p>
    <w:p>
      <w:r>
        <w:rPr>
          <w:sz w:val="20"/>
          <w:szCs w:val="20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60"/>
        <w:gridCol w:w="2000"/>
        <w:gridCol w:w="2000"/>
        <w:gridCol w:w="2000"/>
      </w:tblGrid>
      <w:tr>
        <w:trPr>
          <w:tblHeader/>
        </w:trPr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Income Component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Conservative ($35/SF)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Market ($38/SF)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Aggressive ($42/SF)</w:t>
            </w:r>
          </w:p>
        </w:tc>
      </w:tr>
      <w:tr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Floor 2 Base Rent (Year 2)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$235,000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$235,000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$235,000</w:t>
            </w:r>
          </w:p>
        </w:tc>
      </w:tr>
      <w:tr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Floor 1 — Suite 100 (8,100 SF @ $29/SF)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$234,900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$234,900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$234,900</w:t>
            </w:r>
          </w:p>
        </w:tc>
      </w:tr>
      <w:tr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Floor 3 — Medical (15,220 SF)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$532,700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$578,360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$639,240</w:t>
            </w:r>
          </w:p>
        </w:tc>
      </w:tr>
      <w:tr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Parking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$5,112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$5,112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$5,112</w:t>
            </w:r>
          </w:p>
        </w:tc>
      </w:tr>
      <w:tr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20"/>
              <w:bottom w:type="dxa" w:w="10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6"/>
                <w:szCs w:val="16"/>
              </w:rPr>
              <w:t xml:space="preserve">Gross Scheduled Income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000000"/>
                <w:sz w:val="16"/>
                <w:szCs w:val="16"/>
              </w:rPr>
              <w:t xml:space="preserve">$1,007,712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000000"/>
                <w:sz w:val="16"/>
                <w:szCs w:val="16"/>
              </w:rPr>
              <w:t xml:space="preserve">$1,053,372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000000"/>
                <w:sz w:val="16"/>
                <w:szCs w:val="16"/>
              </w:rPr>
              <w:t xml:space="preserve">$1,114,252</w:t>
            </w:r>
          </w:p>
        </w:tc>
      </w:tr>
      <w:tr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Less: 5% Vacancy / Credit Loss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($50,386)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($52,669)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($55,713)</w:t>
            </w:r>
          </w:p>
        </w:tc>
      </w:tr>
      <w:tr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Effective Gross Income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$957,326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$1,000,703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i w:val="false"/>
                <w:iCs w:val="false"/>
                <w:color w:val="1A1A1A"/>
                <w:sz w:val="14"/>
                <w:szCs w:val="14"/>
              </w:rPr>
              <w:t xml:space="preserve">$1,058,539</w:t>
            </w:r>
          </w:p>
        </w:tc>
      </w:tr>
      <w:tr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Less: Non-Reimbursable OpEx (10%)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($95,733)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($100,070)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00"/>
              <w:bottom w:type="dxa" w:w="8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i w:val="false"/>
                <w:iCs w:val="false"/>
                <w:color w:val="1A1A1A"/>
                <w:sz w:val="14"/>
                <w:szCs w:val="14"/>
              </w:rPr>
              <w:t xml:space="preserve">($105,854)</w:t>
            </w:r>
          </w:p>
        </w:tc>
      </w:tr>
      <w:tr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20"/>
              <w:bottom w:type="dxa" w:w="10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000000"/>
                <w:sz w:val="16"/>
                <w:szCs w:val="16"/>
              </w:rPr>
              <w:t xml:space="preserve">Net Operating Income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000000"/>
                <w:sz w:val="16"/>
                <w:szCs w:val="16"/>
              </w:rPr>
              <w:t xml:space="preserve">$861,593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000000"/>
                <w:sz w:val="16"/>
                <w:szCs w:val="16"/>
              </w:rPr>
              <w:t xml:space="preserve">$900,633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F2F2F2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000000"/>
                <w:sz w:val="16"/>
                <w:szCs w:val="16"/>
              </w:rPr>
              <w:t xml:space="preserve">$952,685</w:t>
            </w:r>
          </w:p>
        </w:tc>
      </w:tr>
      <w:tr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20"/>
              <w:bottom w:type="dxa" w:w="100"/>
              <w:right w:type="dxa" w:w="10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STABILIZED CAP RATE @ $8.75M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9.85%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10.29%</w:t>
            </w:r>
          </w:p>
        </w:tc>
        <w:tc>
          <w:tcPr>
            <w:tcW w:type="dxa" w:w="2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1A1A1A" w:val="clear"/>
            <w:tcMar>
              <w:top w:type="dxa" w:w="100"/>
              <w:left w:type="dxa" w:w="100"/>
              <w:bottom w:type="dxa" w:w="100"/>
              <w:right w:type="dxa" w:w="100"/>
            </w:tcMar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10.89%</w:t>
            </w:r>
          </w:p>
        </w:tc>
      </w:tr>
    </w:tbl>
    <w:p>
      <w:r>
        <w:rPr>
          <w:sz w:val="40"/>
          <w:szCs w:val="40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single" w:color="000000" w:sz="18"/>
              <w:left w:val="single" w:color="000000" w:sz="18"/>
              <w:bottom w:val="single" w:color="000000" w:sz="18"/>
              <w:right w:val="single" w:color="000000" w:sz="18"/>
            </w:tcBorders>
            <w:shd w:fill="F2F2F2" w:val="clear"/>
            <w:tcMar>
              <w:top w:type="dxa" w:w="220"/>
              <w:left w:type="dxa" w:w="280"/>
              <w:bottom w:type="dxa" w:w="220"/>
              <w:right w:type="dxa" w:w="280"/>
            </w:tcMar>
          </w:tcPr>
          <w:p>
            <w:pPr>
              <w:spacing w:after="100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THE THESIS</w:t>
            </w:r>
          </w:p>
          <w:p>
            <w:pPr>
              <w:spacing w:after="100" w:line="280"/>
            </w:pPr>
            <w:r>
              <w:rPr>
                <w:rFonts w:ascii="Arial" w:cs="Arial" w:eastAsia="Arial" w:hAnsi="Arial"/>
                <w:b/>
                <w:bCs/>
                <w:color w:val="1A1A1A"/>
                <w:sz w:val="20"/>
                <w:szCs w:val="20"/>
              </w:rPr>
              <w:t xml:space="preserve">Acquire at $8.75M ($280.63/SF). Execute F1 lease-up + F3 medical-grade delivery. Stabilize at 9.85% – 10.89% cap.</w:t>
            </w:r>
          </w:p>
          <w:p>
            <w:pPr>
              <w:spacing w:after="0" w:line="280"/>
            </w:pPr>
            <w:r>
              <w:rPr>
                <w:rFonts w:ascii="Arial" w:cs="Arial" w:eastAsia="Arial" w:hAnsi="Arial"/>
                <w:i/>
                <w:iCs/>
                <w:color w:val="1A1A1A"/>
                <w:sz w:val="20"/>
                <w:szCs w:val="20"/>
              </w:rPr>
              <w:t xml:space="preserve">Comparable stabilized South Florida MOBs trade at 6.3% – 6.9% caps — implying ~300 – 400 bps of value uplift on stabilization, before any rent growth.</w:t>
            </w:r>
          </w:p>
        </w:tc>
      </w:tr>
    </w:tbl>
    <w:p>
      <w:r>
        <w:br w:type="page"/>
      </w:r>
    </w:p>
    <w:p>
      <w:pPr>
        <w:spacing w:after="60" w:before="200"/>
      </w:pPr>
      <w:r>
        <w:rPr>
          <w:rFonts w:ascii="Arial" w:cs="Arial" w:eastAsia="Arial" w:hAnsi="Arial"/>
          <w:b/>
          <w:bCs/>
          <w:color w:val="000000"/>
          <w:sz w:val="28"/>
          <w:szCs w:val="28"/>
        </w:rPr>
        <w:t xml:space="preserve">EXCLUSIVELY LISTED BY</w:t>
      </w:r>
    </w:p>
    <w:p>
      <w:pPr>
        <w:pBdr>
          <w:bottom w:val="single" w:color="000000" w:sz="18" w:space="1"/>
        </w:pBdr>
        <w:spacing w:after="180" w:before="0"/>
      </w:pPr>
      <w:r>
        <w:t xml:space="preserve"/>
      </w:r>
    </w:p>
    <w:p>
      <w:r>
        <w:rPr>
          <w:sz w:val="60"/>
          <w:szCs w:val="60"/>
        </w:rPr>
        <w:t xml:space="preserve"/>
      </w:r>
    </w:p>
    <w:p>
      <w:pPr>
        <w:spacing w:after="120"/>
        <w:jc w:val="center"/>
      </w:pPr>
      <w:r>
        <w:rPr>
          <w:rFonts w:ascii="Arial" w:cs="Arial" w:eastAsia="Arial" w:hAnsi="Arial"/>
          <w:b/>
          <w:bCs/>
          <w:color w:val="000000"/>
          <w:sz w:val="36"/>
          <w:szCs w:val="36"/>
        </w:rPr>
        <w:t xml:space="preserve">THE SOURCE REAL ESTATE</w:t>
      </w:r>
    </w:p>
    <w:p>
      <w:r>
        <w:rPr>
          <w:sz w:val="60"/>
          <w:szCs w:val="60"/>
        </w:rP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2F2F2" w:val="clear"/>
            <w:tcMar>
              <w:top w:type="dxa" w:w="320"/>
              <w:left w:type="dxa" w:w="400"/>
              <w:bottom w:type="dxa" w:w="320"/>
              <w:right w:type="dxa" w:w="400"/>
            </w:tcMar>
          </w:tcPr>
          <w:p>
            <w:pPr>
              <w:spacing w:after="80"/>
              <w:jc w:val="center"/>
            </w:pPr>
            <w:r>
              <w:rPr>
                <w:rFonts w:ascii="Arial" w:cs="Arial" w:eastAsia="Arial" w:hAnsi="Arial"/>
                <w:b/>
                <w:bCs/>
                <w:color w:val="000000"/>
                <w:sz w:val="32"/>
                <w:szCs w:val="32"/>
              </w:rPr>
              <w:t xml:space="preserve">GEORGE COLLAZO</w:t>
            </w:r>
          </w:p>
          <w:p>
            <w:pPr>
              <w:spacing w:after="200"/>
              <w:jc w:val="center"/>
            </w:pPr>
            <w:r>
              <w:rPr>
                <w:rFonts w:ascii="Arial" w:cs="Arial" w:eastAsia="Arial" w:hAnsi="Arial"/>
                <w:i/>
                <w:iCs/>
                <w:color w:val="595959"/>
                <w:sz w:val="20"/>
                <w:szCs w:val="20"/>
              </w:rPr>
              <w:t xml:space="preserve">Commercial Real Estate Broker</w:t>
            </w:r>
          </w:p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00000"/>
                <w:sz w:val="22"/>
                <w:szCs w:val="22"/>
              </w:rPr>
              <w:t xml:space="preserve">georgec@thesourcere.com</w:t>
            </w:r>
          </w:p>
        </w:tc>
      </w:tr>
    </w:tbl>
    <w:p>
      <w:r>
        <w:rPr>
          <w:sz w:val="60"/>
          <w:szCs w:val="60"/>
        </w:rPr>
        <w:t xml:space="preserve"/>
      </w:r>
    </w:p>
    <w:p>
      <w:pPr>
        <w:spacing w:after="140" w:before="0" w:line="300"/>
        <w:jc w:val="center"/>
      </w:pPr>
      <w:r>
        <w:rPr>
          <w:rFonts w:ascii="Arial" w:cs="Arial" w:eastAsia="Arial" w:hAnsi="Arial"/>
          <w:b w:val="false"/>
          <w:bCs w:val="false"/>
          <w:i/>
          <w:iCs/>
          <w:color w:val="595959"/>
          <w:sz w:val="16"/>
          <w:szCs w:val="16"/>
        </w:rPr>
        <w:t xml:space="preserve">All inquiries, tours, and offers should be directed to the listing broker. Tenant identities and full lease abstracts available upon CA execution.</w:t>
      </w:r>
    </w:p>
    <w:sectPr>
      <w:headerReference w:type="default" r:id="rId7"/>
      <w:footerReference w:type="default" r:id="rId8"/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8C8C8C"/>
        <w:sz w:val="14"/>
        <w:szCs w:val="14"/>
      </w:rPr>
      <w:t xml:space="preserve">THE SOURCE REAL ESTATE  |  </w:t>
    </w:r>
    <w:r>
      <w:rPr>
        <w:rFonts w:ascii="Arial" w:cs="Arial" w:eastAsia="Arial" w:hAnsi="Arial"/>
        <w:color w:val="8C8C8C"/>
        <w:sz w:val="14"/>
        <w:szCs w:val="14"/>
      </w:rPr>
      <w:t xml:space="preserve">Page </w:t>
    </w:r>
    <w:r>
      <w:rPr>
        <w:rFonts w:ascii="Arial" w:cs="Arial" w:eastAsia="Arial" w:hAnsi="Arial"/>
        <w:color w:val="8C8C8C"/>
        <w:sz w:val="14"/>
        <w:szCs w:val="14"/>
      </w:rPr>
      <w:fldChar w:fldCharType="begin"/>
      <w:instrText xml:space="preserve">PAGE</w:instrText>
      <w:fldChar w:fldCharType="separate"/>
      <w:fldChar w:fldCharType="end"/>
    </w:r>
    <w:r>
      <w:rPr>
        <w:rFonts w:ascii="Arial" w:cs="Arial" w:eastAsia="Arial" w:hAnsi="Arial"/>
        <w:color w:val="8C8C8C"/>
        <w:sz w:val="14"/>
        <w:szCs w:val="14"/>
      </w:rPr>
      <w:t xml:space="preserve"> of </w:t>
    </w:r>
    <w:r>
      <w:rPr>
        <w:rFonts w:ascii="Arial" w:cs="Arial" w:eastAsia="Arial" w:hAnsi="Arial"/>
        <w:color w:val="8C8C8C"/>
        <w:sz w:val="14"/>
        <w:szCs w:val="14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Arial" w:cs="Arial" w:eastAsia="Arial" w:hAnsi="Arial"/>
        <w:color w:val="8C8C8C"/>
        <w:spacing w:val="30"/>
        <w:sz w:val="14"/>
        <w:szCs w:val="14"/>
      </w:rPr>
      <w:t xml:space="preserve">6067 HOLLYWOOD BLVD  |  OFFERING MEMORANDUM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2026-04-30T15:52:40.645Z</dcterms:created>
  <dcterms:modified xsi:type="dcterms:W3CDTF">2026-04-30T15:52:40.646Z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