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BD89B" w14:textId="77777777" w:rsidR="00EE6550" w:rsidRDefault="00000000">
      <w:pPr>
        <w:rPr>
          <w:rFonts w:eastAsia="Times New Roman"/>
          <w:sz w:val="24"/>
          <w:szCs w:val="24"/>
        </w:rPr>
      </w:pPr>
      <w:r>
        <w:rPr>
          <w:rFonts w:eastAsia="Times New Roman"/>
        </w:rPr>
        <w:t xml:space="preserve">Sec. 5.1101. - Purpose. </w:t>
      </w:r>
    </w:p>
    <w:p w14:paraId="1DB155FA" w14:textId="77777777" w:rsidR="00EE6550" w:rsidRDefault="00000000">
      <w:pPr>
        <w:pStyle w:val="p0"/>
        <w:rPr>
          <w:rFonts w:eastAsiaTheme="minorEastAsia"/>
        </w:rPr>
      </w:pPr>
      <w:r>
        <w:t xml:space="preserve">This district is transitional, intended primarily to provide offices </w:t>
      </w:r>
      <w:proofErr w:type="gramStart"/>
      <w:r>
        <w:t>of</w:t>
      </w:r>
      <w:proofErr w:type="gramEnd"/>
      <w:r>
        <w:t xml:space="preserve"> a residential scale and character, to serve nearby neighborhoods; and secondarily, to offer medium density residential land uses. Strict property development standards lessen the impact of more intense land uses on adjacent single-family residential districts, while encouraging sensitive design. </w:t>
      </w:r>
    </w:p>
    <w:p w14:paraId="373C1CFB" w14:textId="77777777" w:rsidR="00EE6550" w:rsidRDefault="00000000">
      <w:pPr>
        <w:pStyle w:val="historynote0"/>
        <w:sectPr w:rsidR="00EE6550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 xml:space="preserve">(Ord. No. 4176, § 1, 11-18-14) </w:t>
      </w:r>
    </w:p>
    <w:p w14:paraId="183095C3" w14:textId="77777777" w:rsidR="00EE6550" w:rsidRDefault="00000000">
      <w:pPr>
        <w:rPr>
          <w:rFonts w:eastAsia="Times New Roman"/>
          <w:sz w:val="24"/>
          <w:szCs w:val="24"/>
        </w:rPr>
      </w:pPr>
      <w:r>
        <w:rPr>
          <w:rFonts w:eastAsia="Times New Roman"/>
        </w:rPr>
        <w:t xml:space="preserve">Sec. 5.1102. - Use regulations. </w:t>
      </w:r>
    </w:p>
    <w:p w14:paraId="1AEE25BF" w14:textId="77777777" w:rsidR="00EE6550" w:rsidRDefault="00000000">
      <w:pPr>
        <w:pStyle w:val="list0"/>
      </w:pPr>
      <w:r>
        <w:t>A.  </w:t>
      </w:r>
      <w:r>
        <w:rPr>
          <w:i/>
          <w:iCs/>
        </w:rPr>
        <w:t>Permitted uses</w:t>
      </w:r>
      <w:r>
        <w:t xml:space="preserve">. Buildings, structures, or premises shall be </w:t>
      </w:r>
      <w:proofErr w:type="gramStart"/>
      <w:r>
        <w:t>used</w:t>
      </w:r>
      <w:proofErr w:type="gramEnd"/>
      <w:r>
        <w:t xml:space="preserve"> and buildings and structures shall hereafter be erected, altered, or enlarged only for the following uses: </w:t>
      </w:r>
    </w:p>
    <w:p w14:paraId="3D2AC3F0" w14:textId="77777777" w:rsidR="00EE6550" w:rsidRDefault="00000000">
      <w:pPr>
        <w:pStyle w:val="list1"/>
      </w:pPr>
      <w:r>
        <w:t>1</w:t>
      </w:r>
      <w:proofErr w:type="gramStart"/>
      <w:r>
        <w:t>.  Any</w:t>
      </w:r>
      <w:proofErr w:type="gramEnd"/>
      <w:r>
        <w:t xml:space="preserve"> use shown as permitted in Table 11.201.A., subject to the limitations as listed. </w:t>
      </w:r>
    </w:p>
    <w:p w14:paraId="2CABA6D4" w14:textId="77777777" w:rsidR="00EE6550" w:rsidRDefault="00000000">
      <w:pPr>
        <w:pStyle w:val="list0"/>
      </w:pPr>
      <w:r>
        <w:t>B.  </w:t>
      </w:r>
      <w:r>
        <w:rPr>
          <w:i/>
          <w:iCs/>
        </w:rPr>
        <w:t>Uses permitted by conditional use permit</w:t>
      </w:r>
      <w:r>
        <w:t xml:space="preserve">. </w:t>
      </w:r>
    </w:p>
    <w:p w14:paraId="502BE849" w14:textId="77777777" w:rsidR="00EE6550" w:rsidRDefault="00000000">
      <w:pPr>
        <w:pStyle w:val="list1"/>
      </w:pPr>
      <w:r>
        <w:t>1</w:t>
      </w:r>
      <w:proofErr w:type="gramStart"/>
      <w:r>
        <w:t>.  Any</w:t>
      </w:r>
      <w:proofErr w:type="gramEnd"/>
      <w:r>
        <w:t xml:space="preserve"> use shown as permitted by conditional use permit in Table 11.201.A., subject to the limitations as listed, and any additional conditional use permit criteria. </w:t>
      </w:r>
    </w:p>
    <w:p w14:paraId="3F7B071F" w14:textId="77777777" w:rsidR="00EE6550" w:rsidRDefault="00000000">
      <w:pPr>
        <w:pStyle w:val="historynote0"/>
        <w:sectPr w:rsidR="00EE6550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>(Ord. No. 4176, § 1, 11-18-14; Ord. No. 4404, § 1(Res. No. 11515, § 1(</w:t>
      </w:r>
      <w:proofErr w:type="spellStart"/>
      <w:r>
        <w:t>Exh</w:t>
      </w:r>
      <w:proofErr w:type="spellEnd"/>
      <w:r>
        <w:t xml:space="preserve">. A, § 1)), 6-25-19) </w:t>
      </w:r>
    </w:p>
    <w:p w14:paraId="6DCCF87D" w14:textId="77777777" w:rsidR="00EE6550" w:rsidRDefault="00000000">
      <w:pPr>
        <w:rPr>
          <w:rFonts w:eastAsia="Times New Roman"/>
          <w:sz w:val="24"/>
          <w:szCs w:val="24"/>
        </w:rPr>
      </w:pPr>
      <w:r>
        <w:rPr>
          <w:rFonts w:eastAsia="Times New Roman"/>
        </w:rPr>
        <w:t xml:space="preserve">Sec. 5.1103. - Property development standards. </w:t>
      </w:r>
    </w:p>
    <w:p w14:paraId="6B65D782" w14:textId="77777777" w:rsidR="00EE6550" w:rsidRDefault="00000000">
      <w:pPr>
        <w:pStyle w:val="p0"/>
        <w:rPr>
          <w:rFonts w:eastAsiaTheme="minorEastAsia"/>
        </w:rPr>
      </w:pPr>
      <w:r>
        <w:t xml:space="preserve">The following property development standards shall apply to all land and buildings in the S-R District. </w:t>
      </w:r>
    </w:p>
    <w:p w14:paraId="3D09790F" w14:textId="77777777" w:rsidR="00EE6550" w:rsidRDefault="00000000">
      <w:pPr>
        <w:pStyle w:val="list1"/>
      </w:pPr>
      <w:r>
        <w:t>A.  </w:t>
      </w:r>
      <w:r>
        <w:rPr>
          <w:i/>
          <w:iCs/>
        </w:rPr>
        <w:t>Density.</w:t>
      </w:r>
      <w:r>
        <w:t xml:space="preserve"> </w:t>
      </w:r>
    </w:p>
    <w:p w14:paraId="2F75FE68" w14:textId="77777777" w:rsidR="00EE6550" w:rsidRDefault="00000000">
      <w:pPr>
        <w:pStyle w:val="list2"/>
      </w:pPr>
      <w:r>
        <w:t>1</w:t>
      </w:r>
      <w:proofErr w:type="gramStart"/>
      <w:r>
        <w:t>.  Maximum</w:t>
      </w:r>
      <w:proofErr w:type="gramEnd"/>
      <w:r>
        <w:t xml:space="preserve">: 12 dwelling units per acre of gross lot area. </w:t>
      </w:r>
    </w:p>
    <w:p w14:paraId="5CAD99F8" w14:textId="77777777" w:rsidR="00EE6550" w:rsidRDefault="00000000">
      <w:pPr>
        <w:pStyle w:val="list1"/>
      </w:pPr>
      <w:r>
        <w:t>B.  </w:t>
      </w:r>
      <w:r>
        <w:rPr>
          <w:i/>
          <w:iCs/>
        </w:rPr>
        <w:t>Building height (excluding rooftop appurtenances).</w:t>
      </w:r>
      <w:r>
        <w:t xml:space="preserve"> Maximum: 18 feet. </w:t>
      </w:r>
    </w:p>
    <w:p w14:paraId="0AF8B629" w14:textId="77777777" w:rsidR="00EE6550" w:rsidRDefault="00000000">
      <w:pPr>
        <w:pStyle w:val="list1"/>
      </w:pPr>
      <w:r>
        <w:t>C.  </w:t>
      </w:r>
      <w:r>
        <w:rPr>
          <w:i/>
          <w:iCs/>
        </w:rPr>
        <w:t>Required open space.</w:t>
      </w:r>
      <w:r>
        <w:t xml:space="preserve"> </w:t>
      </w:r>
    </w:p>
    <w:p w14:paraId="0270E810" w14:textId="77777777" w:rsidR="00EE6550" w:rsidRDefault="00000000">
      <w:pPr>
        <w:pStyle w:val="list2"/>
      </w:pPr>
      <w:r>
        <w:t>1</w:t>
      </w:r>
      <w:proofErr w:type="gramStart"/>
      <w:r>
        <w:t>.  Density</w:t>
      </w:r>
      <w:proofErr w:type="gramEnd"/>
      <w:r>
        <w:t xml:space="preserve"> based uses. Minimum open space: 0.36 multiplied by the net lot area. </w:t>
      </w:r>
    </w:p>
    <w:p w14:paraId="408364E3" w14:textId="77777777" w:rsidR="00EE6550" w:rsidRDefault="00000000">
      <w:pPr>
        <w:pStyle w:val="list2"/>
      </w:pPr>
      <w:r>
        <w:t>2</w:t>
      </w:r>
      <w:proofErr w:type="gramStart"/>
      <w:r>
        <w:t>.  Non</w:t>
      </w:r>
      <w:proofErr w:type="gramEnd"/>
      <w:r>
        <w:t>-</w:t>
      </w:r>
      <w:proofErr w:type="gramStart"/>
      <w:r>
        <w:t>density based</w:t>
      </w:r>
      <w:proofErr w:type="gramEnd"/>
      <w:r>
        <w:t xml:space="preserve"> uses. Minimum open space: 0.24 multiplied by the net lot area. </w:t>
      </w:r>
    </w:p>
    <w:p w14:paraId="0BC21F5A" w14:textId="77777777" w:rsidR="00EE6550" w:rsidRDefault="00000000">
      <w:pPr>
        <w:pStyle w:val="list2"/>
      </w:pPr>
      <w:r>
        <w:t>3</w:t>
      </w:r>
      <w:proofErr w:type="gramStart"/>
      <w:r>
        <w:t>.  Minimum</w:t>
      </w:r>
      <w:proofErr w:type="gramEnd"/>
      <w:r>
        <w:t xml:space="preserve"> open space is distributed as follows: </w:t>
      </w:r>
    </w:p>
    <w:p w14:paraId="313983BB" w14:textId="77777777" w:rsidR="00EE6550" w:rsidRDefault="00000000">
      <w:pPr>
        <w:pStyle w:val="list3"/>
      </w:pPr>
      <w:r>
        <w:t xml:space="preserve">a.  Frontage open space minimum: 0.12 multiplied by the net lot area, except as follows: </w:t>
      </w:r>
    </w:p>
    <w:p w14:paraId="067F7414" w14:textId="77777777" w:rsidR="00EE6550" w:rsidRDefault="00000000">
      <w:pPr>
        <w:pStyle w:val="list4"/>
      </w:pPr>
      <w:proofErr w:type="spellStart"/>
      <w:r>
        <w:t>i</w:t>
      </w:r>
      <w:proofErr w:type="spellEnd"/>
      <w:r>
        <w:t xml:space="preserve">.  Lots </w:t>
      </w:r>
      <w:proofErr w:type="gramStart"/>
      <w:r>
        <w:t>with</w:t>
      </w:r>
      <w:proofErr w:type="gramEnd"/>
      <w:r>
        <w:t xml:space="preserve"> one (1) street frontage. Not required to exceed fifty (50) square feet per one (1) linear foot of public street frontage excluding driveways. </w:t>
      </w:r>
    </w:p>
    <w:p w14:paraId="6294E041" w14:textId="77777777" w:rsidR="00EE6550" w:rsidRDefault="00000000">
      <w:pPr>
        <w:pStyle w:val="list4"/>
      </w:pPr>
      <w:r>
        <w:t>ii</w:t>
      </w:r>
      <w:proofErr w:type="gramStart"/>
      <w:r>
        <w:t>.  Lots</w:t>
      </w:r>
      <w:proofErr w:type="gramEnd"/>
      <w:r>
        <w:t xml:space="preserve"> </w:t>
      </w:r>
      <w:proofErr w:type="gramStart"/>
      <w:r>
        <w:t>with</w:t>
      </w:r>
      <w:proofErr w:type="gramEnd"/>
      <w:r>
        <w:t xml:space="preserve"> two (2) or more street frontages. </w:t>
      </w:r>
    </w:p>
    <w:p w14:paraId="046C1846" w14:textId="77777777" w:rsidR="00EE6550" w:rsidRDefault="00000000">
      <w:pPr>
        <w:pStyle w:val="list5"/>
      </w:pPr>
      <w:r>
        <w:t>(1</w:t>
      </w:r>
      <w:proofErr w:type="gramStart"/>
      <w:r>
        <w:t>)  Minimum</w:t>
      </w:r>
      <w:proofErr w:type="gramEnd"/>
      <w:r>
        <w:t xml:space="preserve">: Twenty (20) square feet per one (1) linear foot of public street frontage excluding driveways, for one (1) street. </w:t>
      </w:r>
    </w:p>
    <w:p w14:paraId="41EBF62B" w14:textId="77777777" w:rsidR="00EE6550" w:rsidRDefault="00000000">
      <w:pPr>
        <w:pStyle w:val="list5"/>
      </w:pPr>
      <w:r>
        <w:t>(2</w:t>
      </w:r>
      <w:proofErr w:type="gramStart"/>
      <w:r>
        <w:t>)  Minimum</w:t>
      </w:r>
      <w:proofErr w:type="gramEnd"/>
      <w:r>
        <w:t xml:space="preserve">: Ten (10) square feet per one (1) linear foot of public street frontage excluding driveways, for all other streets. </w:t>
      </w:r>
    </w:p>
    <w:p w14:paraId="144FA711" w14:textId="77777777" w:rsidR="00EE6550" w:rsidRDefault="00000000">
      <w:pPr>
        <w:pStyle w:val="list3"/>
      </w:pPr>
      <w:r>
        <w:t xml:space="preserve">b.  The remainder of the minimum open space, less the frontage open space, shall be common open space. </w:t>
      </w:r>
    </w:p>
    <w:p w14:paraId="4EC8E9AD" w14:textId="77777777" w:rsidR="00EE6550" w:rsidRDefault="00000000">
      <w:pPr>
        <w:pStyle w:val="list2"/>
      </w:pPr>
      <w:r>
        <w:t>4</w:t>
      </w:r>
      <w:proofErr w:type="gramStart"/>
      <w:r>
        <w:t>.  Private</w:t>
      </w:r>
      <w:proofErr w:type="gramEnd"/>
      <w:r>
        <w:t xml:space="preserve"> outdoor living space. </w:t>
      </w:r>
    </w:p>
    <w:p w14:paraId="0CB97C06" w14:textId="77777777" w:rsidR="00EE6550" w:rsidRDefault="00000000">
      <w:pPr>
        <w:pStyle w:val="list3"/>
      </w:pPr>
      <w:r>
        <w:t xml:space="preserve">a.  Ground floor dwelling units, minimum: 0.10 multiplied by the gross floor area of the unit. </w:t>
      </w:r>
    </w:p>
    <w:p w14:paraId="42D7B46B" w14:textId="77777777" w:rsidR="00EE6550" w:rsidRDefault="00000000">
      <w:pPr>
        <w:pStyle w:val="list3"/>
      </w:pPr>
      <w:r>
        <w:t xml:space="preserve">b.  Above the ground floor dwelling units, minimum: 0.05 multiplied by the gross floor area of the unit. </w:t>
      </w:r>
    </w:p>
    <w:p w14:paraId="68313639" w14:textId="77777777" w:rsidR="00EE6550" w:rsidRDefault="00000000">
      <w:pPr>
        <w:pStyle w:val="list3"/>
      </w:pPr>
      <w:r>
        <w:lastRenderedPageBreak/>
        <w:t>c.  The private outdoor living space shall be located beside the dwelling unit which it serves and shall be for the exclusive use of the unit occupant(s</w:t>
      </w:r>
      <w:proofErr w:type="gramStart"/>
      <w:r>
        <w:t>), but</w:t>
      </w:r>
      <w:proofErr w:type="gramEnd"/>
      <w:r>
        <w:t xml:space="preserve"> is not part of the unit's gross floor area. </w:t>
      </w:r>
    </w:p>
    <w:p w14:paraId="42FA223E" w14:textId="77777777" w:rsidR="00EE6550" w:rsidRDefault="00000000">
      <w:pPr>
        <w:pStyle w:val="list2"/>
      </w:pPr>
      <w:r>
        <w:t>5</w:t>
      </w:r>
      <w:proofErr w:type="gramStart"/>
      <w:r>
        <w:t>.  Parking</w:t>
      </w:r>
      <w:proofErr w:type="gramEnd"/>
      <w:r>
        <w:t xml:space="preserve"> areas and parking lot landscaping are not included in the required open space. </w:t>
      </w:r>
    </w:p>
    <w:p w14:paraId="11006FD4" w14:textId="77777777" w:rsidR="00EE6550" w:rsidRDefault="00000000">
      <w:pPr>
        <w:pStyle w:val="list2"/>
      </w:pPr>
      <w:r>
        <w:t>6</w:t>
      </w:r>
      <w:proofErr w:type="gramStart"/>
      <w:r>
        <w:t>.  NAOS</w:t>
      </w:r>
      <w:proofErr w:type="gramEnd"/>
      <w:r>
        <w:t xml:space="preserve"> may be included in the required open space. </w:t>
      </w:r>
    </w:p>
    <w:p w14:paraId="58CEE08C" w14:textId="77777777" w:rsidR="00EE6550" w:rsidRDefault="00000000">
      <w:pPr>
        <w:pStyle w:val="list1"/>
      </w:pPr>
      <w:r>
        <w:t>D.  </w:t>
      </w:r>
      <w:r>
        <w:rPr>
          <w:i/>
          <w:iCs/>
        </w:rPr>
        <w:t>Distance between buildings.</w:t>
      </w:r>
      <w:r>
        <w:t xml:space="preserve"> </w:t>
      </w:r>
    </w:p>
    <w:p w14:paraId="13892E1C" w14:textId="77777777" w:rsidR="00EE6550" w:rsidRDefault="00000000">
      <w:pPr>
        <w:pStyle w:val="list2"/>
      </w:pPr>
      <w:r>
        <w:t>1</w:t>
      </w:r>
      <w:proofErr w:type="gramStart"/>
      <w:r>
        <w:t>.  Minimum</w:t>
      </w:r>
      <w:proofErr w:type="gramEnd"/>
      <w:r>
        <w:t xml:space="preserve">: 10 feet between all buildings. </w:t>
      </w:r>
    </w:p>
    <w:p w14:paraId="10BA9415" w14:textId="77777777" w:rsidR="00EE6550" w:rsidRDefault="00000000">
      <w:pPr>
        <w:pStyle w:val="list2"/>
      </w:pPr>
      <w:r>
        <w:t>2.  </w:t>
      </w:r>
      <w:proofErr w:type="gramStart"/>
      <w:r>
        <w:t>However</w:t>
      </w:r>
      <w:proofErr w:type="gramEnd"/>
      <w:r>
        <w:t xml:space="preserve"> an accessory building with two or more open sides, one which is adjacent to the main building, minimum: 6 feet to the main building. </w:t>
      </w:r>
    </w:p>
    <w:p w14:paraId="60CFAE09" w14:textId="77777777" w:rsidR="00EE6550" w:rsidRDefault="00000000">
      <w:pPr>
        <w:pStyle w:val="list1"/>
      </w:pPr>
      <w:r>
        <w:t>E.  </w:t>
      </w:r>
      <w:r>
        <w:rPr>
          <w:i/>
          <w:iCs/>
        </w:rPr>
        <w:t>Walls and fences.</w:t>
      </w:r>
      <w:r>
        <w:t xml:space="preserve"> </w:t>
      </w:r>
    </w:p>
    <w:p w14:paraId="1A548941" w14:textId="77777777" w:rsidR="00EE6550" w:rsidRDefault="00000000">
      <w:pPr>
        <w:pStyle w:val="list2"/>
      </w:pPr>
      <w:r>
        <w:t>1</w:t>
      </w:r>
      <w:proofErr w:type="gramStart"/>
      <w:r>
        <w:t>.  On</w:t>
      </w:r>
      <w:proofErr w:type="gramEnd"/>
      <w:r>
        <w:t xml:space="preserve"> side and rear property lines, walls and fences are permitted. Maximum height: eight feet. </w:t>
      </w:r>
    </w:p>
    <w:p w14:paraId="3822515D" w14:textId="77777777" w:rsidR="00EE6550" w:rsidRDefault="00000000">
      <w:pPr>
        <w:pStyle w:val="list2"/>
      </w:pPr>
      <w:r>
        <w:t>2</w:t>
      </w:r>
      <w:proofErr w:type="gramStart"/>
      <w:r>
        <w:t>.  Within</w:t>
      </w:r>
      <w:proofErr w:type="gramEnd"/>
      <w:r>
        <w:t xml:space="preserve"> frontage open space: Maximum height: three feet. </w:t>
      </w:r>
    </w:p>
    <w:p w14:paraId="179832F5" w14:textId="77777777" w:rsidR="00EE6550" w:rsidRDefault="00000000">
      <w:pPr>
        <w:pStyle w:val="list1"/>
      </w:pPr>
      <w:r>
        <w:t>F.  </w:t>
      </w:r>
      <w:r>
        <w:rPr>
          <w:i/>
          <w:iCs/>
        </w:rPr>
        <w:t>Screening.</w:t>
      </w:r>
      <w:r>
        <w:t xml:space="preserve"> </w:t>
      </w:r>
    </w:p>
    <w:p w14:paraId="44E79022" w14:textId="77777777" w:rsidR="00EE6550" w:rsidRDefault="00000000">
      <w:pPr>
        <w:pStyle w:val="list2"/>
      </w:pPr>
      <w:r>
        <w:t>1</w:t>
      </w:r>
      <w:proofErr w:type="gramStart"/>
      <w:r>
        <w:t>.  All</w:t>
      </w:r>
      <w:proofErr w:type="gramEnd"/>
      <w:r>
        <w:t xml:space="preserve"> operations shall be conducted within a completely enclosed building or within an area contained by a wall or fence as determined by Development Review Board approval. </w:t>
      </w:r>
    </w:p>
    <w:p w14:paraId="02914BDC" w14:textId="77777777" w:rsidR="00EE6550" w:rsidRDefault="00000000">
      <w:pPr>
        <w:pStyle w:val="historynote0"/>
        <w:sectPr w:rsidR="00EE6550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 xml:space="preserve">(Ord. No. 4176, § 1, 11-18-14) </w:t>
      </w:r>
    </w:p>
    <w:p w14:paraId="1B17F2CB" w14:textId="77777777" w:rsidR="00EE6550" w:rsidRDefault="00000000">
      <w:pPr>
        <w:rPr>
          <w:rFonts w:eastAsia="Times New Roman"/>
          <w:sz w:val="24"/>
          <w:szCs w:val="24"/>
        </w:rPr>
      </w:pPr>
      <w:r>
        <w:rPr>
          <w:rFonts w:eastAsia="Times New Roman"/>
        </w:rPr>
        <w:t xml:space="preserve">Sec. 5.1104. - General provisions. </w:t>
      </w:r>
    </w:p>
    <w:p w14:paraId="00CA0E40" w14:textId="77777777" w:rsidR="00EE6550" w:rsidRDefault="00000000">
      <w:pPr>
        <w:pStyle w:val="p0"/>
        <w:rPr>
          <w:rFonts w:eastAsiaTheme="minorEastAsia"/>
        </w:rPr>
      </w:pPr>
      <w:r>
        <w:t xml:space="preserve">Unless otherwise provided, the provisions of Article VII. shall apply. </w:t>
      </w:r>
    </w:p>
    <w:p w14:paraId="62914FB7" w14:textId="77777777" w:rsidR="00EE6550" w:rsidRDefault="00000000">
      <w:pPr>
        <w:pStyle w:val="historynote0"/>
        <w:sectPr w:rsidR="00EE6550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 xml:space="preserve">(Ord. No. 4176, § 1, 11-18-14) </w:t>
      </w:r>
    </w:p>
    <w:p w14:paraId="7BAC0E99" w14:textId="77777777" w:rsidR="00EE6550" w:rsidRDefault="00000000">
      <w:pPr>
        <w:rPr>
          <w:rFonts w:eastAsia="Times New Roman"/>
          <w:sz w:val="24"/>
          <w:szCs w:val="24"/>
        </w:rPr>
      </w:pPr>
      <w:r>
        <w:rPr>
          <w:rFonts w:eastAsia="Times New Roman"/>
        </w:rPr>
        <w:t xml:space="preserve">Sec. 5.1105. - Signs. </w:t>
      </w:r>
    </w:p>
    <w:p w14:paraId="12B8F733" w14:textId="77777777" w:rsidR="00EE6550" w:rsidRDefault="00000000">
      <w:pPr>
        <w:pStyle w:val="p0"/>
        <w:rPr>
          <w:rFonts w:eastAsiaTheme="minorEastAsia"/>
        </w:rPr>
      </w:pPr>
      <w:r>
        <w:t xml:space="preserve">The provisions of Article VIII shall apply. </w:t>
      </w:r>
    </w:p>
    <w:p w14:paraId="5CF01D7E" w14:textId="77777777" w:rsidR="00EE6550" w:rsidRDefault="00000000">
      <w:pPr>
        <w:pStyle w:val="historynote0"/>
        <w:sectPr w:rsidR="00EE6550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 xml:space="preserve">(Ord. No. 4176, § 1, 11-18-14) </w:t>
      </w:r>
    </w:p>
    <w:p w14:paraId="02A84CEF" w14:textId="77777777" w:rsidR="00EE6550" w:rsidRDefault="00000000">
      <w:pPr>
        <w:rPr>
          <w:rFonts w:eastAsia="Times New Roman"/>
          <w:sz w:val="24"/>
          <w:szCs w:val="24"/>
        </w:rPr>
      </w:pPr>
      <w:r>
        <w:rPr>
          <w:rFonts w:eastAsia="Times New Roman"/>
        </w:rPr>
        <w:t xml:space="preserve">Sec. 5.1106. - Off-street parking. </w:t>
      </w:r>
    </w:p>
    <w:p w14:paraId="0D9C1E5B" w14:textId="77777777" w:rsidR="00EE6550" w:rsidRDefault="00000000">
      <w:pPr>
        <w:pStyle w:val="p0"/>
        <w:rPr>
          <w:rFonts w:eastAsiaTheme="minorEastAsia"/>
        </w:rPr>
      </w:pPr>
      <w:r>
        <w:t xml:space="preserve">The provisions of Article IX shall apply. </w:t>
      </w:r>
    </w:p>
    <w:p w14:paraId="39453F03" w14:textId="77777777" w:rsidR="00EE6550" w:rsidRDefault="00000000">
      <w:pPr>
        <w:pStyle w:val="historynote0"/>
        <w:sectPr w:rsidR="00EE6550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 xml:space="preserve">(Ord. No. 4176, § 1, 11-18-14) </w:t>
      </w:r>
    </w:p>
    <w:p w14:paraId="308F182E" w14:textId="77777777" w:rsidR="00EE6550" w:rsidRDefault="00000000">
      <w:pPr>
        <w:rPr>
          <w:rFonts w:eastAsia="Times New Roman"/>
          <w:sz w:val="24"/>
          <w:szCs w:val="24"/>
        </w:rPr>
      </w:pPr>
      <w:r>
        <w:rPr>
          <w:rFonts w:eastAsia="Times New Roman"/>
        </w:rPr>
        <w:t xml:space="preserve">Sec. 5.1107. - Landscaping. </w:t>
      </w:r>
    </w:p>
    <w:p w14:paraId="7C9F5820" w14:textId="77777777" w:rsidR="00EE6550" w:rsidRDefault="00000000">
      <w:pPr>
        <w:pStyle w:val="p0"/>
        <w:rPr>
          <w:rFonts w:eastAsiaTheme="minorEastAsia"/>
        </w:rPr>
      </w:pPr>
      <w:r>
        <w:t xml:space="preserve">Unless otherwise provided, the provisions of Article X. shall apply. </w:t>
      </w:r>
    </w:p>
    <w:p w14:paraId="0804C568" w14:textId="77777777" w:rsidR="00EE6550" w:rsidRDefault="00000000">
      <w:pPr>
        <w:pStyle w:val="historynote0"/>
      </w:pPr>
      <w:r>
        <w:t xml:space="preserve">(Ord. No. 4176, § 1, 11-18-14) </w:t>
      </w:r>
    </w:p>
    <w:sectPr w:rsidR="00EE6550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multilevel"/>
    <w:tmpl w:val="54C8D49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FFFFFF7D"/>
    <w:multiLevelType w:val="multilevel"/>
    <w:tmpl w:val="F4B6895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FFFFFF7E"/>
    <w:multiLevelType w:val="multilevel"/>
    <w:tmpl w:val="6862D93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FFFFFF7F"/>
    <w:multiLevelType w:val="multilevel"/>
    <w:tmpl w:val="32BCE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FFFFFF80"/>
    <w:multiLevelType w:val="multilevel"/>
    <w:tmpl w:val="264A5F5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FFFFFF81"/>
    <w:multiLevelType w:val="multilevel"/>
    <w:tmpl w:val="5CD4A73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FFFFFF82"/>
    <w:multiLevelType w:val="multilevel"/>
    <w:tmpl w:val="9084B40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FFFFFF83"/>
    <w:multiLevelType w:val="multilevel"/>
    <w:tmpl w:val="9594D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FFFFFF88"/>
    <w:multiLevelType w:val="multilevel"/>
    <w:tmpl w:val="869CB5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FFFFFF89"/>
    <w:multiLevelType w:val="multilevel"/>
    <w:tmpl w:val="5836A4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8EC0768"/>
    <w:multiLevelType w:val="multilevel"/>
    <w:tmpl w:val="69A07B82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C74AB4"/>
    <w:multiLevelType w:val="multilevel"/>
    <w:tmpl w:val="BA40C7C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38363E"/>
    <w:multiLevelType w:val="multilevel"/>
    <w:tmpl w:val="67C8CA78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356064">
    <w:abstractNumId w:val="0"/>
  </w:num>
  <w:num w:numId="2" w16cid:durableId="642388493">
    <w:abstractNumId w:val="1"/>
  </w:num>
  <w:num w:numId="3" w16cid:durableId="1241787902">
    <w:abstractNumId w:val="2"/>
  </w:num>
  <w:num w:numId="4" w16cid:durableId="836387738">
    <w:abstractNumId w:val="3"/>
  </w:num>
  <w:num w:numId="5" w16cid:durableId="962032550">
    <w:abstractNumId w:val="4"/>
  </w:num>
  <w:num w:numId="6" w16cid:durableId="883174586">
    <w:abstractNumId w:val="5"/>
  </w:num>
  <w:num w:numId="7" w16cid:durableId="1408763419">
    <w:abstractNumId w:val="6"/>
  </w:num>
  <w:num w:numId="8" w16cid:durableId="1378162631">
    <w:abstractNumId w:val="7"/>
  </w:num>
  <w:num w:numId="9" w16cid:durableId="1562599016">
    <w:abstractNumId w:val="8"/>
  </w:num>
  <w:num w:numId="10" w16cid:durableId="149297697">
    <w:abstractNumId w:val="9"/>
  </w:num>
  <w:num w:numId="11" w16cid:durableId="1895920225">
    <w:abstractNumId w:val="10"/>
  </w:num>
  <w:num w:numId="12" w16cid:durableId="1670791557">
    <w:abstractNumId w:val="11"/>
  </w:num>
  <w:num w:numId="13" w16cid:durableId="7184735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550"/>
    <w:rsid w:val="006C133B"/>
    <w:rsid w:val="00792924"/>
    <w:rsid w:val="00EE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42599"/>
  <w15:docId w15:val="{DFF00F01-2D77-4559-B569-6A3CE2840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="Arial" w:eastAsiaTheme="majorEastAsia" w:hAnsi="Arial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 w:after="0"/>
      <w:outlineLvl w:val="1"/>
    </w:pPr>
    <w:rPr>
      <w:rFonts w:ascii="Arial" w:eastAsiaTheme="majorEastAsia" w:hAnsi="Arial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 w:after="0"/>
      <w:outlineLvl w:val="2"/>
    </w:pPr>
    <w:rPr>
      <w:rFonts w:ascii="Arial" w:eastAsiaTheme="majorEastAsia" w:hAnsi="Arial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="Arial" w:eastAsiaTheme="majorEastAsia" w:hAnsi="Arial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="Arial" w:eastAsiaTheme="majorEastAsia" w:hAnsi="Arial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="Arial" w:eastAsiaTheme="majorEastAsia" w:hAnsi="Arial" w:cstheme="majorBidi"/>
      <w:i/>
      <w:i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</w:style>
  <w:style w:type="paragraph" w:customStyle="1" w:styleId="p0">
    <w:name w:val="p0"/>
    <w:basedOn w:val="Normal"/>
    <w:qFormat/>
    <w:pPr>
      <w:spacing w:after="120" w:line="240" w:lineRule="auto"/>
      <w:ind w:firstLine="432"/>
    </w:pPr>
    <w:rPr>
      <w:rFonts w:ascii="Arial" w:hAnsi="Arial"/>
      <w:sz w:val="20"/>
    </w:rPr>
  </w:style>
  <w:style w:type="paragraph" w:customStyle="1" w:styleId="historynote0">
    <w:name w:val="historynote0"/>
    <w:basedOn w:val="Normal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ja-JP"/>
    </w:rPr>
  </w:style>
  <w:style w:type="paragraph" w:customStyle="1" w:styleId="list0">
    <w:name w:val="list0"/>
    <w:basedOn w:val="Normal"/>
    <w:qFormat/>
    <w:pPr>
      <w:spacing w:after="120" w:line="240" w:lineRule="auto"/>
      <w:ind w:left="432" w:hanging="432"/>
      <w:jc w:val="both"/>
    </w:pPr>
    <w:rPr>
      <w:rFonts w:ascii="Arial" w:hAnsi="Arial" w:cs="Arial"/>
      <w:sz w:val="20"/>
      <w:szCs w:val="20"/>
    </w:rPr>
  </w:style>
  <w:style w:type="paragraph" w:customStyle="1" w:styleId="list1">
    <w:name w:val="list1"/>
    <w:basedOn w:val="list0"/>
    <w:qFormat/>
    <w:pPr>
      <w:ind w:left="864"/>
    </w:pPr>
  </w:style>
  <w:style w:type="paragraph" w:customStyle="1" w:styleId="list2">
    <w:name w:val="list2"/>
    <w:basedOn w:val="list1"/>
    <w:qFormat/>
    <w:pPr>
      <w:ind w:left="1296"/>
    </w:pPr>
  </w:style>
  <w:style w:type="paragraph" w:customStyle="1" w:styleId="list3">
    <w:name w:val="list3"/>
    <w:basedOn w:val="list2"/>
    <w:qFormat/>
    <w:pPr>
      <w:ind w:left="1728"/>
    </w:pPr>
  </w:style>
  <w:style w:type="paragraph" w:customStyle="1" w:styleId="list4">
    <w:name w:val="list4"/>
    <w:basedOn w:val="list3"/>
    <w:qFormat/>
    <w:pPr>
      <w:ind w:left="2160"/>
    </w:pPr>
  </w:style>
  <w:style w:type="paragraph" w:customStyle="1" w:styleId="list5">
    <w:name w:val="list5"/>
    <w:basedOn w:val="list4"/>
    <w:qFormat/>
    <w:pPr>
      <w:ind w:left="2592"/>
    </w:pPr>
  </w:style>
  <w:style w:type="paragraph" w:customStyle="1" w:styleId="list6">
    <w:name w:val="list6"/>
    <w:basedOn w:val="list5"/>
    <w:qFormat/>
    <w:pPr>
      <w:ind w:left="3024"/>
    </w:pPr>
  </w:style>
  <w:style w:type="paragraph" w:customStyle="1" w:styleId="list7">
    <w:name w:val="list7"/>
    <w:basedOn w:val="list6"/>
    <w:qFormat/>
    <w:pPr>
      <w:ind w:left="3456"/>
    </w:pPr>
  </w:style>
  <w:style w:type="paragraph" w:customStyle="1" w:styleId="list8">
    <w:name w:val="list8"/>
    <w:basedOn w:val="list7"/>
    <w:qFormat/>
    <w:pPr>
      <w:ind w:left="3888"/>
    </w:pPr>
  </w:style>
  <w:style w:type="paragraph" w:customStyle="1" w:styleId="p1">
    <w:name w:val="p1"/>
    <w:basedOn w:val="p0"/>
    <w:qFormat/>
    <w:pPr>
      <w:ind w:left="432"/>
    </w:pPr>
  </w:style>
  <w:style w:type="paragraph" w:customStyle="1" w:styleId="p2">
    <w:name w:val="p2"/>
    <w:basedOn w:val="p1"/>
    <w:qFormat/>
    <w:pPr>
      <w:ind w:left="864"/>
    </w:pPr>
  </w:style>
  <w:style w:type="paragraph" w:customStyle="1" w:styleId="p3">
    <w:name w:val="p3"/>
    <w:basedOn w:val="p2"/>
    <w:qFormat/>
    <w:pPr>
      <w:ind w:left="1296"/>
    </w:pPr>
  </w:style>
  <w:style w:type="paragraph" w:customStyle="1" w:styleId="p4">
    <w:name w:val="p4"/>
    <w:basedOn w:val="p3"/>
    <w:qFormat/>
    <w:pPr>
      <w:ind w:left="1728"/>
    </w:pPr>
  </w:style>
  <w:style w:type="paragraph" w:customStyle="1" w:styleId="p5">
    <w:name w:val="p5"/>
    <w:basedOn w:val="p4"/>
    <w:qFormat/>
    <w:pPr>
      <w:ind w:left="2160"/>
    </w:pPr>
  </w:style>
  <w:style w:type="paragraph" w:customStyle="1" w:styleId="p6">
    <w:name w:val="p6"/>
    <w:basedOn w:val="p5"/>
    <w:qFormat/>
    <w:pPr>
      <w:ind w:left="2592"/>
    </w:pPr>
  </w:style>
  <w:style w:type="paragraph" w:customStyle="1" w:styleId="p7">
    <w:name w:val="p7"/>
    <w:basedOn w:val="p6"/>
    <w:qFormat/>
    <w:pPr>
      <w:ind w:left="3024"/>
    </w:pPr>
  </w:style>
  <w:style w:type="paragraph" w:customStyle="1" w:styleId="p8">
    <w:name w:val="p8"/>
    <w:basedOn w:val="p7"/>
    <w:qFormat/>
    <w:pPr>
      <w:ind w:left="3456"/>
    </w:pPr>
  </w:style>
  <w:style w:type="paragraph" w:customStyle="1" w:styleId="b0">
    <w:name w:val="b0"/>
    <w:basedOn w:val="Normal"/>
    <w:qFormat/>
    <w:pPr>
      <w:spacing w:line="240" w:lineRule="auto"/>
    </w:pPr>
    <w:rPr>
      <w:rFonts w:ascii="Arial" w:hAnsi="Arial" w:cs="Arial"/>
      <w:sz w:val="20"/>
      <w:szCs w:val="20"/>
    </w:rPr>
  </w:style>
  <w:style w:type="paragraph" w:customStyle="1" w:styleId="b1">
    <w:name w:val="b1"/>
    <w:basedOn w:val="b0"/>
    <w:qFormat/>
    <w:pPr>
      <w:ind w:left="432"/>
    </w:pPr>
  </w:style>
  <w:style w:type="paragraph" w:customStyle="1" w:styleId="b2">
    <w:name w:val="b2"/>
    <w:basedOn w:val="b1"/>
    <w:qFormat/>
    <w:pPr>
      <w:ind w:left="864"/>
    </w:pPr>
  </w:style>
  <w:style w:type="paragraph" w:customStyle="1" w:styleId="b3">
    <w:name w:val="b3"/>
    <w:basedOn w:val="b2"/>
    <w:qFormat/>
    <w:pPr>
      <w:ind w:left="1296"/>
    </w:pPr>
  </w:style>
  <w:style w:type="paragraph" w:customStyle="1" w:styleId="b4">
    <w:name w:val="b4"/>
    <w:basedOn w:val="b3"/>
    <w:qFormat/>
    <w:pPr>
      <w:ind w:left="1728"/>
    </w:pPr>
  </w:style>
  <w:style w:type="paragraph" w:customStyle="1" w:styleId="b5">
    <w:name w:val="b5"/>
    <w:basedOn w:val="b4"/>
    <w:qFormat/>
    <w:pPr>
      <w:ind w:left="2160"/>
    </w:pPr>
  </w:style>
  <w:style w:type="paragraph" w:customStyle="1" w:styleId="b6">
    <w:name w:val="b6"/>
    <w:basedOn w:val="b5"/>
    <w:qFormat/>
    <w:pPr>
      <w:ind w:left="2592"/>
    </w:pPr>
  </w:style>
  <w:style w:type="paragraph" w:customStyle="1" w:styleId="b7">
    <w:name w:val="b7"/>
    <w:basedOn w:val="b6"/>
    <w:qFormat/>
    <w:pPr>
      <w:ind w:left="3024"/>
    </w:pPr>
  </w:style>
  <w:style w:type="paragraph" w:customStyle="1" w:styleId="b8">
    <w:name w:val="b8"/>
    <w:basedOn w:val="b7"/>
    <w:qFormat/>
    <w:pPr>
      <w:ind w:left="3456"/>
    </w:pPr>
  </w:style>
  <w:style w:type="paragraph" w:customStyle="1" w:styleId="h0">
    <w:name w:val="h0"/>
    <w:basedOn w:val="Normal"/>
    <w:link w:val="h0Char"/>
    <w:qFormat/>
    <w:pPr>
      <w:spacing w:line="240" w:lineRule="auto"/>
      <w:ind w:left="432" w:hanging="432"/>
    </w:pPr>
    <w:rPr>
      <w:rFonts w:ascii="Arial" w:hAnsi="Arial"/>
      <w:sz w:val="20"/>
    </w:rPr>
  </w:style>
  <w:style w:type="paragraph" w:customStyle="1" w:styleId="h1">
    <w:name w:val="h1"/>
    <w:basedOn w:val="h0"/>
    <w:link w:val="h1Char"/>
    <w:qFormat/>
    <w:pPr>
      <w:ind w:left="864"/>
    </w:pPr>
  </w:style>
  <w:style w:type="paragraph" w:customStyle="1" w:styleId="h2">
    <w:name w:val="h2"/>
    <w:basedOn w:val="h1"/>
    <w:link w:val="h2Char"/>
    <w:qFormat/>
    <w:pPr>
      <w:ind w:left="1296"/>
    </w:pPr>
  </w:style>
  <w:style w:type="paragraph" w:customStyle="1" w:styleId="h3">
    <w:name w:val="h3"/>
    <w:basedOn w:val="h2"/>
    <w:link w:val="h3Char"/>
    <w:qFormat/>
    <w:pPr>
      <w:ind w:left="1728"/>
    </w:pPr>
  </w:style>
  <w:style w:type="paragraph" w:customStyle="1" w:styleId="h4">
    <w:name w:val="h4"/>
    <w:basedOn w:val="h3"/>
    <w:link w:val="h4Char"/>
    <w:qFormat/>
    <w:pPr>
      <w:ind w:left="2160"/>
    </w:pPr>
  </w:style>
  <w:style w:type="paragraph" w:customStyle="1" w:styleId="h5">
    <w:name w:val="h5"/>
    <w:basedOn w:val="h4"/>
    <w:link w:val="h5Char"/>
    <w:qFormat/>
    <w:pPr>
      <w:ind w:left="2592"/>
    </w:pPr>
  </w:style>
  <w:style w:type="paragraph" w:customStyle="1" w:styleId="h6">
    <w:name w:val="h6"/>
    <w:basedOn w:val="h5"/>
    <w:link w:val="h6Char"/>
    <w:qFormat/>
    <w:pPr>
      <w:ind w:left="3024"/>
    </w:pPr>
  </w:style>
  <w:style w:type="paragraph" w:customStyle="1" w:styleId="h7">
    <w:name w:val="h7"/>
    <w:basedOn w:val="h6"/>
    <w:link w:val="h7Char"/>
    <w:qFormat/>
    <w:pPr>
      <w:ind w:left="3456"/>
    </w:pPr>
  </w:style>
  <w:style w:type="paragraph" w:customStyle="1" w:styleId="h8">
    <w:name w:val="h8"/>
    <w:basedOn w:val="h7"/>
    <w:qFormat/>
    <w:pPr>
      <w:ind w:left="3888"/>
    </w:pPr>
  </w:style>
  <w:style w:type="paragraph" w:customStyle="1" w:styleId="seclink">
    <w:name w:val="seclink"/>
    <w:basedOn w:val="Normal"/>
    <w:qFormat/>
    <w:pPr>
      <w:spacing w:after="120" w:line="240" w:lineRule="auto"/>
    </w:pPr>
    <w:rPr>
      <w:rFonts w:ascii="Arial" w:hAnsi="Arial"/>
      <w:color w:val="0000FF"/>
      <w:sz w:val="20"/>
    </w:rPr>
  </w:style>
  <w:style w:type="character" w:styleId="Hyperlink">
    <w:name w:val="Hyperlink"/>
    <w:basedOn w:val="DefaultParagraphFont"/>
    <w:uiPriority w:val="99"/>
    <w:unhideWhenUsed/>
    <w:qFormat/>
    <w:rPr>
      <w:rFonts w:ascii="Arial" w:hAnsi="Arial"/>
      <w:color w:val="0000FF"/>
      <w:sz w:val="20"/>
      <w:u w:val="single"/>
    </w:rPr>
  </w:style>
  <w:style w:type="paragraph" w:customStyle="1" w:styleId="historynote">
    <w:name w:val="historynote"/>
    <w:basedOn w:val="Normal"/>
    <w:qFormat/>
    <w:pPr>
      <w:tabs>
        <w:tab w:val="right" w:pos="9180"/>
      </w:tabs>
      <w:spacing w:after="120" w:line="240" w:lineRule="auto"/>
      <w:ind w:left="432"/>
    </w:pPr>
    <w:rPr>
      <w:rFonts w:ascii="Arial" w:hAnsi="Arial"/>
      <w:color w:val="7F7F7F"/>
      <w:sz w:val="20"/>
    </w:rPr>
  </w:style>
  <w:style w:type="paragraph" w:customStyle="1" w:styleId="bc0">
    <w:name w:val="bc0"/>
    <w:basedOn w:val="b0"/>
    <w:qFormat/>
    <w:pPr>
      <w:spacing w:after="120"/>
      <w:jc w:val="center"/>
    </w:pPr>
  </w:style>
  <w:style w:type="paragraph" w:customStyle="1" w:styleId="sec">
    <w:name w:val="sec"/>
    <w:basedOn w:val="Normal"/>
    <w:qFormat/>
    <w:pPr>
      <w:keepNext/>
      <w:spacing w:before="360"/>
    </w:pPr>
    <w:rPr>
      <w:rFonts w:ascii="Arial" w:hAnsi="Arial"/>
      <w:b/>
      <w:color w:val="404040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Theme="majorEastAsia" w:hAnsi="Arial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Theme="majorEastAsia" w:hAnsi="Arial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Theme="majorEastAsia" w:hAnsi="Arial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Theme="majorEastAsia" w:hAnsi="Arial" w:cstheme="majorBidi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Theme="majorEastAsia" w:hAnsi="Arial" w:cstheme="majorBidi"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404040"/>
    </w:rPr>
  </w:style>
  <w:style w:type="paragraph" w:styleId="Title">
    <w:name w:val="Title"/>
    <w:basedOn w:val="Normal"/>
    <w:next w:val="Normal"/>
    <w:link w:val="TitleChar"/>
    <w:uiPriority w:val="10"/>
    <w:qFormat/>
    <w:pPr>
      <w:pBdr>
        <w:bottom w:val="single" w:sz="8" w:space="4" w:color="4F81BD"/>
      </w:pBdr>
      <w:spacing w:after="300" w:line="240" w:lineRule="auto"/>
      <w:contextualSpacing/>
    </w:pPr>
    <w:rPr>
      <w:rFonts w:ascii="Arial" w:eastAsiaTheme="majorEastAsia" w:hAnsi="Arial" w:cstheme="majorBidi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Theme="majorEastAsia" w:hAnsi="Arial" w:cstheme="majorBidi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ascii="Arial" w:eastAsiaTheme="majorEastAsia" w:hAnsi="Arial" w:cstheme="majorBidi"/>
      <w:i/>
      <w:iCs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="Arial" w:eastAsiaTheme="majorEastAsia" w:hAnsi="Arial" w:cstheme="majorBidi"/>
      <w:i/>
      <w:iCs/>
      <w:spacing w:val="15"/>
      <w:sz w:val="24"/>
      <w:szCs w:val="24"/>
    </w:rPr>
  </w:style>
  <w:style w:type="paragraph" w:customStyle="1" w:styleId="r0">
    <w:name w:val="r0"/>
    <w:basedOn w:val="Normal"/>
    <w:qFormat/>
    <w:pPr>
      <w:spacing w:after="120" w:line="240" w:lineRule="auto"/>
      <w:jc w:val="both"/>
    </w:pPr>
    <w:rPr>
      <w:rFonts w:ascii="Arial" w:hAnsi="Arial"/>
      <w:sz w:val="20"/>
    </w:rPr>
  </w:style>
  <w:style w:type="paragraph" w:customStyle="1" w:styleId="listml0">
    <w:name w:val="listml0"/>
    <w:basedOn w:val="list0"/>
    <w:qFormat/>
    <w:pPr>
      <w:tabs>
        <w:tab w:val="left" w:pos="432"/>
        <w:tab w:val="left" w:pos="864"/>
      </w:tabs>
      <w:ind w:left="864" w:hanging="864"/>
    </w:pPr>
  </w:style>
  <w:style w:type="paragraph" w:customStyle="1" w:styleId="listml1">
    <w:name w:val="listml1"/>
    <w:basedOn w:val="list1"/>
    <w:qFormat/>
    <w:pPr>
      <w:tabs>
        <w:tab w:val="left" w:pos="864"/>
        <w:tab w:val="left" w:pos="1296"/>
      </w:tabs>
      <w:ind w:left="1296" w:hanging="864"/>
    </w:pPr>
  </w:style>
  <w:style w:type="paragraph" w:customStyle="1" w:styleId="listml2">
    <w:name w:val="listml2"/>
    <w:basedOn w:val="list2"/>
    <w:qFormat/>
    <w:pPr>
      <w:tabs>
        <w:tab w:val="left" w:pos="1296"/>
        <w:tab w:val="left" w:pos="1728"/>
      </w:tabs>
      <w:ind w:left="1728" w:hanging="864"/>
    </w:pPr>
  </w:style>
  <w:style w:type="paragraph" w:customStyle="1" w:styleId="listml3">
    <w:name w:val="listml3"/>
    <w:basedOn w:val="list3"/>
    <w:qFormat/>
    <w:pPr>
      <w:tabs>
        <w:tab w:val="left" w:pos="1728"/>
        <w:tab w:val="left" w:pos="2160"/>
      </w:tabs>
      <w:ind w:left="2160" w:hanging="864"/>
    </w:pPr>
  </w:style>
  <w:style w:type="paragraph" w:customStyle="1" w:styleId="listml4">
    <w:name w:val="listml4"/>
    <w:basedOn w:val="list4"/>
    <w:qFormat/>
    <w:pPr>
      <w:tabs>
        <w:tab w:val="left" w:pos="2160"/>
        <w:tab w:val="left" w:pos="2592"/>
      </w:tabs>
      <w:ind w:left="2592" w:hanging="864"/>
    </w:pPr>
  </w:style>
  <w:style w:type="paragraph" w:customStyle="1" w:styleId="listml5">
    <w:name w:val="listml5"/>
    <w:basedOn w:val="list5"/>
    <w:qFormat/>
    <w:pPr>
      <w:tabs>
        <w:tab w:val="left" w:pos="2592"/>
        <w:tab w:val="left" w:pos="3024"/>
      </w:tabs>
      <w:ind w:left="3024" w:hanging="864"/>
    </w:pPr>
  </w:style>
  <w:style w:type="paragraph" w:customStyle="1" w:styleId="listml6">
    <w:name w:val="listml6"/>
    <w:basedOn w:val="list6"/>
    <w:qFormat/>
    <w:pPr>
      <w:tabs>
        <w:tab w:val="left" w:pos="3024"/>
        <w:tab w:val="left" w:pos="3456"/>
      </w:tabs>
      <w:ind w:left="3456" w:hanging="864"/>
    </w:pPr>
  </w:style>
  <w:style w:type="paragraph" w:customStyle="1" w:styleId="listml7">
    <w:name w:val="listml7"/>
    <w:basedOn w:val="list7"/>
    <w:qFormat/>
    <w:pPr>
      <w:tabs>
        <w:tab w:val="left" w:pos="3456"/>
        <w:tab w:val="left" w:pos="3888"/>
      </w:tabs>
      <w:ind w:left="3888" w:hanging="864"/>
    </w:pPr>
  </w:style>
  <w:style w:type="paragraph" w:customStyle="1" w:styleId="listml8">
    <w:name w:val="listml8"/>
    <w:basedOn w:val="list8"/>
    <w:qFormat/>
    <w:pPr>
      <w:tabs>
        <w:tab w:val="left" w:pos="3888"/>
        <w:tab w:val="left" w:pos="4320"/>
      </w:tabs>
      <w:ind w:left="4320" w:hanging="864"/>
    </w:pPr>
  </w:style>
  <w:style w:type="paragraph" w:customStyle="1" w:styleId="b18q">
    <w:name w:val="b1_8q"/>
    <w:basedOn w:val="b1"/>
    <w:qFormat/>
    <w:pPr>
      <w:spacing w:after="160"/>
    </w:pPr>
    <w:rPr>
      <w:sz w:val="16"/>
    </w:rPr>
  </w:style>
  <w:style w:type="paragraph" w:customStyle="1" w:styleId="refmanualfn">
    <w:name w:val="refmanualfn"/>
    <w:basedOn w:val="historynote"/>
    <w:qFormat/>
    <w:pPr>
      <w:ind w:left="0"/>
    </w:pPr>
  </w:style>
  <w:style w:type="paragraph" w:customStyle="1" w:styleId="refeditorfn">
    <w:name w:val="refeditorfn"/>
    <w:basedOn w:val="historynote"/>
    <w:qFormat/>
    <w:pPr>
      <w:ind w:left="0"/>
    </w:pPr>
  </w:style>
  <w:style w:type="paragraph" w:customStyle="1" w:styleId="refgenericfn">
    <w:name w:val="refgenericfn"/>
    <w:basedOn w:val="historynote"/>
    <w:qFormat/>
    <w:pPr>
      <w:ind w:left="0"/>
    </w:pPr>
  </w:style>
  <w:style w:type="paragraph" w:customStyle="1" w:styleId="refcharterfn">
    <w:name w:val="refcharterfn"/>
    <w:basedOn w:val="historynote"/>
    <w:qFormat/>
    <w:pPr>
      <w:ind w:left="0"/>
    </w:pPr>
  </w:style>
  <w:style w:type="paragraph" w:customStyle="1" w:styleId="refcrossfn">
    <w:name w:val="refcrossfn"/>
    <w:basedOn w:val="historynote"/>
    <w:qFormat/>
    <w:pPr>
      <w:ind w:left="0"/>
    </w:pPr>
  </w:style>
  <w:style w:type="paragraph" w:customStyle="1" w:styleId="refstateconstfn">
    <w:name w:val="refstateconstfn"/>
    <w:basedOn w:val="historynote"/>
    <w:qFormat/>
    <w:pPr>
      <w:ind w:left="0"/>
    </w:pPr>
  </w:style>
  <w:style w:type="paragraph" w:customStyle="1" w:styleId="refcaselawfn">
    <w:name w:val="refcaselawfn"/>
    <w:basedOn w:val="historynote"/>
    <w:qFormat/>
    <w:pPr>
      <w:ind w:left="0"/>
    </w:pPr>
  </w:style>
  <w:style w:type="paragraph" w:customStyle="1" w:styleId="refcaselawanno">
    <w:name w:val="refcaselawanno"/>
    <w:basedOn w:val="historynote"/>
    <w:qFormat/>
    <w:pPr>
      <w:ind w:left="0"/>
    </w:pPr>
  </w:style>
  <w:style w:type="paragraph" w:customStyle="1" w:styleId="refnotefn">
    <w:name w:val="refnotefn"/>
    <w:basedOn w:val="historynote"/>
    <w:qFormat/>
    <w:pPr>
      <w:ind w:left="0"/>
    </w:pPr>
  </w:style>
  <w:style w:type="paragraph" w:customStyle="1" w:styleId="refstatelawfn">
    <w:name w:val="refstatelawfn"/>
    <w:basedOn w:val="historynote"/>
    <w:qFormat/>
    <w:pPr>
      <w:ind w:left="0"/>
    </w:pPr>
  </w:style>
  <w:style w:type="paragraph" w:customStyle="1" w:styleId="subsec1">
    <w:name w:val="subsec1"/>
    <w:basedOn w:val="sec"/>
    <w:qFormat/>
    <w:pPr>
      <w:spacing w:before="240"/>
    </w:pPr>
    <w:rPr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paragraph" w:customStyle="1" w:styleId="bkmk">
    <w:name w:val="bkmk"/>
    <w:basedOn w:val="Normal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ja-JP"/>
    </w:rPr>
  </w:style>
  <w:style w:type="paragraph" w:customStyle="1" w:styleId="incr2">
    <w:name w:val="incr2"/>
    <w:basedOn w:val="Normal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ja-JP"/>
    </w:rPr>
  </w:style>
  <w:style w:type="paragraph" w:customStyle="1" w:styleId="content3">
    <w:name w:val="content3"/>
    <w:basedOn w:val="Normal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ja-JP"/>
    </w:rPr>
  </w:style>
  <w:style w:type="paragraph" w:customStyle="1" w:styleId="incr0">
    <w:name w:val="incr0"/>
    <w:basedOn w:val="Normal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ja-JP"/>
    </w:rPr>
  </w:style>
  <w:style w:type="paragraph" w:customStyle="1" w:styleId="content1">
    <w:name w:val="content1"/>
    <w:basedOn w:val="Normal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ja-JP"/>
    </w:rPr>
  </w:style>
  <w:style w:type="paragraph" w:customStyle="1" w:styleId="incr1">
    <w:name w:val="incr1"/>
    <w:basedOn w:val="Normal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ja-JP"/>
    </w:rPr>
  </w:style>
  <w:style w:type="paragraph" w:customStyle="1" w:styleId="content2">
    <w:name w:val="content2"/>
    <w:basedOn w:val="Normal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ja-JP"/>
    </w:rPr>
  </w:style>
  <w:style w:type="paragraph" w:customStyle="1" w:styleId="refnote">
    <w:name w:val="refnote"/>
    <w:basedOn w:val="Normal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ja-JP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hg0">
    <w:name w:val="hg0"/>
    <w:link w:val="hg0Char"/>
    <w:qFormat/>
    <w:pPr>
      <w:spacing w:after="120" w:line="240" w:lineRule="auto"/>
      <w:ind w:left="432" w:hanging="432"/>
    </w:pPr>
    <w:rPr>
      <w:rFonts w:ascii="Arial" w:hAnsi="Arial"/>
      <w:sz w:val="20"/>
    </w:rPr>
  </w:style>
  <w:style w:type="paragraph" w:customStyle="1" w:styleId="hg1">
    <w:name w:val="hg1"/>
    <w:basedOn w:val="hg0"/>
    <w:link w:val="hg1Char"/>
    <w:qFormat/>
    <w:pPr>
      <w:ind w:left="864"/>
    </w:pPr>
  </w:style>
  <w:style w:type="paragraph" w:customStyle="1" w:styleId="hg2">
    <w:name w:val="hg2"/>
    <w:basedOn w:val="hg1"/>
    <w:link w:val="hg2Char"/>
    <w:qFormat/>
    <w:pPr>
      <w:ind w:left="1296"/>
    </w:pPr>
  </w:style>
  <w:style w:type="paragraph" w:customStyle="1" w:styleId="hg3">
    <w:name w:val="hg3"/>
    <w:basedOn w:val="hg2"/>
    <w:link w:val="hg3Char"/>
    <w:qFormat/>
    <w:pPr>
      <w:ind w:left="1728"/>
    </w:pPr>
  </w:style>
  <w:style w:type="paragraph" w:customStyle="1" w:styleId="hg4">
    <w:name w:val="hg4"/>
    <w:basedOn w:val="hg3"/>
    <w:link w:val="hg4Char"/>
    <w:qFormat/>
    <w:pPr>
      <w:ind w:left="2160"/>
    </w:pPr>
  </w:style>
  <w:style w:type="paragraph" w:customStyle="1" w:styleId="hg5">
    <w:name w:val="hg5"/>
    <w:basedOn w:val="hg4"/>
    <w:link w:val="hg5Char"/>
    <w:qFormat/>
    <w:pPr>
      <w:ind w:left="2592"/>
    </w:pPr>
  </w:style>
  <w:style w:type="paragraph" w:customStyle="1" w:styleId="hg6">
    <w:name w:val="hg6"/>
    <w:basedOn w:val="hg5"/>
    <w:link w:val="hg6Char"/>
    <w:qFormat/>
    <w:pPr>
      <w:ind w:left="3024"/>
    </w:pPr>
  </w:style>
  <w:style w:type="paragraph" w:customStyle="1" w:styleId="hg7">
    <w:name w:val="hg7"/>
    <w:basedOn w:val="hg6"/>
    <w:link w:val="hg7Char"/>
    <w:qFormat/>
    <w:pPr>
      <w:ind w:left="3456"/>
    </w:pPr>
  </w:style>
  <w:style w:type="paragraph" w:customStyle="1" w:styleId="hg0-em">
    <w:name w:val="hg0-em"/>
    <w:basedOn w:val="h0"/>
    <w:link w:val="hg0-emChar"/>
    <w:pPr>
      <w:ind w:left="200" w:hanging="200"/>
    </w:pPr>
  </w:style>
  <w:style w:type="character" w:customStyle="1" w:styleId="h0Char">
    <w:name w:val="h0 Char"/>
    <w:basedOn w:val="DefaultParagraphFont"/>
    <w:link w:val="h0"/>
    <w:rPr>
      <w:rFonts w:ascii="Arial" w:hAnsi="Arial"/>
      <w:sz w:val="20"/>
    </w:rPr>
  </w:style>
  <w:style w:type="character" w:customStyle="1" w:styleId="hg0-emChar">
    <w:name w:val="hg0-em Char"/>
    <w:basedOn w:val="h0Char"/>
    <w:link w:val="hg0-em"/>
    <w:rPr>
      <w:rFonts w:ascii="Arial" w:hAnsi="Arial"/>
      <w:color w:val="808080"/>
      <w:sz w:val="20"/>
    </w:rPr>
  </w:style>
  <w:style w:type="paragraph" w:customStyle="1" w:styleId="hgem0">
    <w:name w:val="hgem0"/>
    <w:basedOn w:val="hg0"/>
    <w:link w:val="hgem0Char"/>
    <w:qFormat/>
    <w:pPr>
      <w:ind w:left="216" w:hanging="216"/>
    </w:pPr>
  </w:style>
  <w:style w:type="paragraph" w:customStyle="1" w:styleId="hgem1">
    <w:name w:val="hgem1"/>
    <w:basedOn w:val="hg1"/>
    <w:link w:val="hgem1Char"/>
    <w:qFormat/>
    <w:pPr>
      <w:ind w:left="648" w:hanging="216"/>
    </w:pPr>
  </w:style>
  <w:style w:type="character" w:customStyle="1" w:styleId="hg0Char">
    <w:name w:val="hg0 Char"/>
    <w:basedOn w:val="DefaultParagraphFont"/>
    <w:link w:val="hg0"/>
    <w:rPr>
      <w:rFonts w:ascii="Arial" w:hAnsi="Arial"/>
      <w:sz w:val="20"/>
    </w:rPr>
  </w:style>
  <w:style w:type="character" w:customStyle="1" w:styleId="hgem0Char">
    <w:name w:val="hgem0 Char"/>
    <w:basedOn w:val="hg0Char"/>
    <w:link w:val="hgem0"/>
    <w:rPr>
      <w:rFonts w:ascii="Arial" w:hAnsi="Arial"/>
      <w:sz w:val="20"/>
    </w:rPr>
  </w:style>
  <w:style w:type="paragraph" w:customStyle="1" w:styleId="hgem2">
    <w:name w:val="hgem2"/>
    <w:basedOn w:val="hg2"/>
    <w:link w:val="hgem2Char"/>
    <w:qFormat/>
    <w:pPr>
      <w:ind w:left="1080" w:hanging="216"/>
    </w:pPr>
  </w:style>
  <w:style w:type="character" w:customStyle="1" w:styleId="hg1Char">
    <w:name w:val="hg1 Char"/>
    <w:basedOn w:val="hg0Char"/>
    <w:link w:val="hg1"/>
    <w:rPr>
      <w:rFonts w:ascii="Arial" w:hAnsi="Arial"/>
      <w:sz w:val="20"/>
    </w:rPr>
  </w:style>
  <w:style w:type="character" w:customStyle="1" w:styleId="hgem1Char">
    <w:name w:val="hgem1 Char"/>
    <w:basedOn w:val="hg1Char"/>
    <w:link w:val="hgem1"/>
    <w:rPr>
      <w:rFonts w:ascii="Arial" w:hAnsi="Arial"/>
      <w:sz w:val="20"/>
    </w:rPr>
  </w:style>
  <w:style w:type="paragraph" w:customStyle="1" w:styleId="hgem3">
    <w:name w:val="hgem3"/>
    <w:basedOn w:val="hg3"/>
    <w:link w:val="hgem3Char"/>
    <w:qFormat/>
    <w:pPr>
      <w:ind w:left="1512" w:hanging="216"/>
    </w:pPr>
  </w:style>
  <w:style w:type="character" w:customStyle="1" w:styleId="hg2Char">
    <w:name w:val="hg2 Char"/>
    <w:basedOn w:val="hg1Char"/>
    <w:link w:val="hg2"/>
    <w:rPr>
      <w:rFonts w:ascii="Arial" w:hAnsi="Arial"/>
      <w:sz w:val="20"/>
    </w:rPr>
  </w:style>
  <w:style w:type="character" w:customStyle="1" w:styleId="hgem2Char">
    <w:name w:val="hgem2 Char"/>
    <w:basedOn w:val="hg2Char"/>
    <w:link w:val="hgem2"/>
    <w:rPr>
      <w:rFonts w:ascii="Arial" w:hAnsi="Arial"/>
      <w:sz w:val="20"/>
    </w:rPr>
  </w:style>
  <w:style w:type="paragraph" w:customStyle="1" w:styleId="hgem4">
    <w:name w:val="hgem4"/>
    <w:basedOn w:val="h4"/>
    <w:link w:val="hgem4Char"/>
    <w:qFormat/>
    <w:pPr>
      <w:ind w:left="1944" w:hanging="216"/>
    </w:pPr>
  </w:style>
  <w:style w:type="character" w:customStyle="1" w:styleId="hg3Char">
    <w:name w:val="hg3 Char"/>
    <w:basedOn w:val="hg2Char"/>
    <w:link w:val="hg3"/>
    <w:rPr>
      <w:rFonts w:ascii="Arial" w:hAnsi="Arial"/>
      <w:sz w:val="20"/>
    </w:rPr>
  </w:style>
  <w:style w:type="character" w:customStyle="1" w:styleId="hgem3Char">
    <w:name w:val="hgem3 Char"/>
    <w:basedOn w:val="hg3Char"/>
    <w:link w:val="hgem3"/>
    <w:rPr>
      <w:rFonts w:ascii="Arial" w:hAnsi="Arial"/>
      <w:sz w:val="20"/>
    </w:rPr>
  </w:style>
  <w:style w:type="paragraph" w:customStyle="1" w:styleId="hgem5">
    <w:name w:val="hgem5"/>
    <w:basedOn w:val="h5"/>
    <w:link w:val="hgem5Char"/>
    <w:qFormat/>
    <w:pPr>
      <w:ind w:left="2376" w:hanging="216"/>
    </w:pPr>
  </w:style>
  <w:style w:type="character" w:customStyle="1" w:styleId="h1Char">
    <w:name w:val="h1 Char"/>
    <w:basedOn w:val="h0Char"/>
    <w:link w:val="h1"/>
    <w:rPr>
      <w:rFonts w:ascii="Arial" w:hAnsi="Arial"/>
      <w:sz w:val="20"/>
    </w:rPr>
  </w:style>
  <w:style w:type="character" w:customStyle="1" w:styleId="h2Char">
    <w:name w:val="h2 Char"/>
    <w:basedOn w:val="h1Char"/>
    <w:link w:val="h2"/>
    <w:rPr>
      <w:rFonts w:ascii="Arial" w:hAnsi="Arial"/>
      <w:sz w:val="20"/>
    </w:rPr>
  </w:style>
  <w:style w:type="character" w:customStyle="1" w:styleId="h3Char">
    <w:name w:val="h3 Char"/>
    <w:basedOn w:val="h2Char"/>
    <w:link w:val="h3"/>
    <w:rPr>
      <w:rFonts w:ascii="Arial" w:hAnsi="Arial"/>
      <w:sz w:val="20"/>
    </w:rPr>
  </w:style>
  <w:style w:type="character" w:customStyle="1" w:styleId="h4Char">
    <w:name w:val="h4 Char"/>
    <w:basedOn w:val="h3Char"/>
    <w:link w:val="h4"/>
    <w:rPr>
      <w:rFonts w:ascii="Arial" w:hAnsi="Arial"/>
      <w:sz w:val="20"/>
    </w:rPr>
  </w:style>
  <w:style w:type="character" w:customStyle="1" w:styleId="hgem4Char">
    <w:name w:val="hgem4 Char"/>
    <w:basedOn w:val="h4Char"/>
    <w:link w:val="hgem4"/>
    <w:rPr>
      <w:rFonts w:ascii="Arial" w:hAnsi="Arial"/>
      <w:sz w:val="20"/>
    </w:rPr>
  </w:style>
  <w:style w:type="paragraph" w:customStyle="1" w:styleId="hgem6">
    <w:name w:val="hgem6"/>
    <w:basedOn w:val="h6"/>
    <w:link w:val="hgem6Char"/>
    <w:qFormat/>
    <w:pPr>
      <w:ind w:left="2808" w:hanging="216"/>
    </w:pPr>
  </w:style>
  <w:style w:type="character" w:customStyle="1" w:styleId="h5Char">
    <w:name w:val="h5 Char"/>
    <w:basedOn w:val="h4Char"/>
    <w:link w:val="h5"/>
    <w:rPr>
      <w:rFonts w:ascii="Arial" w:hAnsi="Arial"/>
      <w:sz w:val="20"/>
    </w:rPr>
  </w:style>
  <w:style w:type="character" w:customStyle="1" w:styleId="hgem5Char">
    <w:name w:val="hgem5 Char"/>
    <w:basedOn w:val="h5Char"/>
    <w:link w:val="hgem5"/>
    <w:rPr>
      <w:rFonts w:ascii="Arial" w:hAnsi="Arial"/>
      <w:sz w:val="20"/>
    </w:rPr>
  </w:style>
  <w:style w:type="paragraph" w:customStyle="1" w:styleId="hgem7">
    <w:name w:val="hgem7"/>
    <w:basedOn w:val="h7"/>
    <w:link w:val="hgem7Char"/>
    <w:qFormat/>
    <w:pPr>
      <w:ind w:left="3240" w:hanging="216"/>
    </w:pPr>
  </w:style>
  <w:style w:type="character" w:customStyle="1" w:styleId="h6Char">
    <w:name w:val="h6 Char"/>
    <w:basedOn w:val="h5Char"/>
    <w:link w:val="h6"/>
    <w:rPr>
      <w:rFonts w:ascii="Arial" w:hAnsi="Arial"/>
      <w:sz w:val="20"/>
    </w:rPr>
  </w:style>
  <w:style w:type="character" w:customStyle="1" w:styleId="hgem6Char">
    <w:name w:val="hgem6 Char"/>
    <w:basedOn w:val="h6Char"/>
    <w:link w:val="hgem6"/>
    <w:rPr>
      <w:rFonts w:ascii="Arial" w:hAnsi="Arial"/>
      <w:sz w:val="20"/>
    </w:rPr>
  </w:style>
  <w:style w:type="character" w:customStyle="1" w:styleId="h7Char">
    <w:name w:val="h7 Char"/>
    <w:basedOn w:val="h6Char"/>
    <w:link w:val="h7"/>
    <w:rPr>
      <w:rFonts w:ascii="Arial" w:hAnsi="Arial"/>
      <w:sz w:val="20"/>
    </w:rPr>
  </w:style>
  <w:style w:type="character" w:customStyle="1" w:styleId="hgem7Char">
    <w:name w:val="hgem7 Char"/>
    <w:basedOn w:val="h7Char"/>
    <w:link w:val="hgem7"/>
    <w:rPr>
      <w:rFonts w:ascii="Arial" w:hAnsi="Arial"/>
      <w:sz w:val="20"/>
    </w:rPr>
  </w:style>
  <w:style w:type="paragraph" w:customStyle="1" w:styleId="hg8">
    <w:name w:val="hg8"/>
    <w:basedOn w:val="hg7"/>
    <w:link w:val="hg8Char"/>
    <w:qFormat/>
    <w:pPr>
      <w:ind w:left="3888"/>
    </w:pPr>
  </w:style>
  <w:style w:type="paragraph" w:customStyle="1" w:styleId="hgem8">
    <w:name w:val="hgem8"/>
    <w:basedOn w:val="hg8"/>
    <w:link w:val="hgem8Char"/>
    <w:qFormat/>
    <w:pPr>
      <w:ind w:left="3672" w:hanging="216"/>
    </w:pPr>
  </w:style>
  <w:style w:type="character" w:customStyle="1" w:styleId="hg4Char">
    <w:name w:val="hg4 Char"/>
    <w:basedOn w:val="hg3Char"/>
    <w:link w:val="hg4"/>
    <w:rPr>
      <w:rFonts w:ascii="Arial" w:hAnsi="Arial"/>
      <w:sz w:val="20"/>
    </w:rPr>
  </w:style>
  <w:style w:type="character" w:customStyle="1" w:styleId="hg5Char">
    <w:name w:val="hg5 Char"/>
    <w:basedOn w:val="hg4Char"/>
    <w:link w:val="hg5"/>
    <w:rPr>
      <w:rFonts w:ascii="Arial" w:hAnsi="Arial"/>
      <w:sz w:val="20"/>
    </w:rPr>
  </w:style>
  <w:style w:type="character" w:customStyle="1" w:styleId="hg6Char">
    <w:name w:val="hg6 Char"/>
    <w:basedOn w:val="hg5Char"/>
    <w:link w:val="hg6"/>
    <w:rPr>
      <w:rFonts w:ascii="Arial" w:hAnsi="Arial"/>
      <w:sz w:val="20"/>
    </w:rPr>
  </w:style>
  <w:style w:type="character" w:customStyle="1" w:styleId="hg7Char">
    <w:name w:val="hg7 Char"/>
    <w:basedOn w:val="hg6Char"/>
    <w:link w:val="hg7"/>
    <w:rPr>
      <w:rFonts w:ascii="Arial" w:hAnsi="Arial"/>
      <w:sz w:val="20"/>
    </w:rPr>
  </w:style>
  <w:style w:type="character" w:customStyle="1" w:styleId="hg8Char">
    <w:name w:val="hg8 Char"/>
    <w:basedOn w:val="hg7Char"/>
    <w:link w:val="hg8"/>
    <w:rPr>
      <w:rFonts w:ascii="Arial" w:hAnsi="Arial"/>
      <w:sz w:val="20"/>
    </w:rPr>
  </w:style>
  <w:style w:type="paragraph" w:customStyle="1" w:styleId="hg9">
    <w:name w:val="hg9"/>
    <w:basedOn w:val="hg8"/>
    <w:link w:val="hg9Char"/>
    <w:qFormat/>
    <w:pPr>
      <w:ind w:left="4320"/>
    </w:pPr>
  </w:style>
  <w:style w:type="character" w:customStyle="1" w:styleId="hgem8Char">
    <w:name w:val="hgem8 Char"/>
    <w:basedOn w:val="hg8Char"/>
    <w:link w:val="hgem8"/>
    <w:rPr>
      <w:rFonts w:ascii="Arial" w:hAnsi="Arial"/>
      <w:sz w:val="20"/>
    </w:rPr>
  </w:style>
  <w:style w:type="paragraph" w:customStyle="1" w:styleId="hgem9">
    <w:name w:val="hgem9"/>
    <w:basedOn w:val="hg9"/>
    <w:link w:val="hgem9Char"/>
    <w:qFormat/>
    <w:pPr>
      <w:ind w:left="4104" w:hanging="216"/>
    </w:pPr>
  </w:style>
  <w:style w:type="character" w:customStyle="1" w:styleId="hg9Char">
    <w:name w:val="hg9 Char"/>
    <w:basedOn w:val="hg8Char"/>
    <w:link w:val="hg9"/>
    <w:rPr>
      <w:rFonts w:ascii="Arial" w:hAnsi="Arial"/>
      <w:sz w:val="20"/>
    </w:rPr>
  </w:style>
  <w:style w:type="character" w:customStyle="1" w:styleId="hgem9Char">
    <w:name w:val="hgem9 Char"/>
    <w:basedOn w:val="hg9Char"/>
    <w:link w:val="hgem9"/>
    <w:rPr>
      <w:rFonts w:ascii="Arial" w:hAnsi="Arial"/>
      <w:sz w:val="20"/>
    </w:rPr>
  </w:style>
  <w:style w:type="paragraph" w:customStyle="1" w:styleId="incr3">
    <w:name w:val="incr3"/>
    <w:basedOn w:val="Normal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ja-JP"/>
    </w:rPr>
  </w:style>
  <w:style w:type="paragraph" w:customStyle="1" w:styleId="content4">
    <w:name w:val="content4"/>
    <w:basedOn w:val="Normal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ja-JP"/>
    </w:rPr>
  </w:style>
  <w:style w:type="paragraph" w:customStyle="1" w:styleId="incr4">
    <w:name w:val="incr4"/>
    <w:basedOn w:val="Normal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ja-JP"/>
    </w:rPr>
  </w:style>
  <w:style w:type="paragraph" w:customStyle="1" w:styleId="content5">
    <w:name w:val="content5"/>
    <w:basedOn w:val="Normal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ja-JP"/>
    </w:rPr>
  </w:style>
  <w:style w:type="paragraph" w:customStyle="1" w:styleId="incr5">
    <w:name w:val="incr5"/>
    <w:basedOn w:val="Normal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ja-JP"/>
    </w:rPr>
  </w:style>
  <w:style w:type="paragraph" w:customStyle="1" w:styleId="content6">
    <w:name w:val="content6"/>
    <w:basedOn w:val="Normal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3393</Characters>
  <Application>Microsoft Office Word</Application>
  <DocSecurity>0</DocSecurity>
  <Lines>72</Lines>
  <Paragraphs>80</Paragraphs>
  <ScaleCrop>false</ScaleCrop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Brook Miller</dc:creator>
  <cp:lastModifiedBy>Brook Miller</cp:lastModifiedBy>
  <cp:revision>2</cp:revision>
  <cp:lastPrinted>2025-11-21T21:05:00Z</cp:lastPrinted>
  <dcterms:created xsi:type="dcterms:W3CDTF">2025-11-21T21:06:00Z</dcterms:created>
  <dcterms:modified xsi:type="dcterms:W3CDTF">2025-11-21T21:06:00Z</dcterms:modified>
</cp:coreProperties>
</file>