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753673" w:rsidRDefault="00000000">
      <w:pPr>
        <w:rPr>
          <w:sz w:val="24"/>
          <w:szCs w:val="24"/>
        </w:rPr>
      </w:pPr>
      <w:r>
        <w:rPr>
          <w:sz w:val="24"/>
          <w:szCs w:val="24"/>
        </w:rPr>
        <w:t>DESCRIPTION:</w:t>
      </w:r>
    </w:p>
    <w:p w14:paraId="00000002" w14:textId="77777777" w:rsidR="00753673" w:rsidRDefault="00753673">
      <w:pPr>
        <w:rPr>
          <w:sz w:val="24"/>
          <w:szCs w:val="24"/>
        </w:rPr>
      </w:pPr>
    </w:p>
    <w:p w14:paraId="6918CB5C" w14:textId="347B9DB3" w:rsidR="002A43DA" w:rsidRPr="002A43DA" w:rsidRDefault="00000000" w:rsidP="002A43DA">
      <w:pPr>
        <w:rPr>
          <w:sz w:val="24"/>
          <w:szCs w:val="24"/>
        </w:rPr>
      </w:pPr>
      <w:r>
        <w:rPr>
          <w:sz w:val="24"/>
          <w:szCs w:val="24"/>
        </w:rPr>
        <w:t>Investor opportunity. This fully occupied 2-unit duplex delivers $43,200 in gross annual rent from day one — both units leased at $1,800/month, both tenants paying.</w:t>
      </w:r>
      <w:r w:rsidR="002A43DA" w:rsidRPr="002A43DA">
        <w:rPr>
          <w:sz w:val="24"/>
          <w:szCs w:val="24"/>
        </w:rPr>
        <w:t xml:space="preserve"> </w:t>
      </w:r>
    </w:p>
    <w:p w14:paraId="773E6841" w14:textId="77777777" w:rsidR="002A43DA" w:rsidRDefault="002A43DA" w:rsidP="002A43DA">
      <w:pPr>
        <w:rPr>
          <w:sz w:val="24"/>
          <w:szCs w:val="24"/>
        </w:rPr>
      </w:pPr>
      <w:r>
        <w:rPr>
          <w:sz w:val="24"/>
          <w:szCs w:val="24"/>
        </w:rPr>
        <w:t>Investment package available upon request — rent roll, lease copies, expense history. Contact listing agent.</w:t>
      </w:r>
    </w:p>
    <w:p w14:paraId="00000004" w14:textId="77777777" w:rsidR="00753673" w:rsidRDefault="00000000">
      <w:pPr>
        <w:rPr>
          <w:sz w:val="24"/>
          <w:szCs w:val="24"/>
        </w:rPr>
      </w:pPr>
      <w:r>
        <w:rPr>
          <w:sz w:val="24"/>
          <w:szCs w:val="24"/>
        </w:rPr>
        <w:t>The income:</w:t>
      </w:r>
    </w:p>
    <w:p w14:paraId="00000005" w14:textId="77777777" w:rsidR="00753673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Unit 1: $1,800/month | Lease through March 31, 2027</w:t>
      </w:r>
    </w:p>
    <w:p w14:paraId="00000006" w14:textId="1CB53541" w:rsidR="00753673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Unit 2: $1,800/month | Lease through June 30, 2026 </w:t>
      </w:r>
      <w:r w:rsidR="00783196">
        <w:rPr>
          <w:sz w:val="24"/>
          <w:szCs w:val="24"/>
        </w:rPr>
        <w:t>[pending renewal]</w:t>
      </w:r>
    </w:p>
    <w:p w14:paraId="00000007" w14:textId="77777777" w:rsidR="00753673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Gross Annual Rent: $43,200</w:t>
      </w:r>
    </w:p>
    <w:p w14:paraId="00000008" w14:textId="77777777" w:rsidR="00753673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Annual Expenses (taxes, insurance, utilities, grounds): $10,920</w:t>
      </w:r>
    </w:p>
    <w:p w14:paraId="00000009" w14:textId="77777777" w:rsidR="00753673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Net Operating Income: $32,280/year</w:t>
      </w:r>
    </w:p>
    <w:p w14:paraId="0000000A" w14:textId="77777777" w:rsidR="00753673" w:rsidRDefault="0000000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Cap Rate at $440,000: 7.3% | Cap Rate at $420,000: 7.7%</w:t>
      </w:r>
    </w:p>
    <w:p w14:paraId="0699A130" w14:textId="77777777" w:rsidR="002A43DA" w:rsidRDefault="002A43DA" w:rsidP="002A43DA">
      <w:pPr>
        <w:ind w:left="720"/>
        <w:rPr>
          <w:sz w:val="24"/>
          <w:szCs w:val="24"/>
        </w:rPr>
      </w:pPr>
    </w:p>
    <w:p w14:paraId="0000000B" w14:textId="689450BB" w:rsidR="00753673" w:rsidRDefault="00000000">
      <w:pPr>
        <w:rPr>
          <w:sz w:val="24"/>
          <w:szCs w:val="24"/>
        </w:rPr>
      </w:pPr>
      <w:r>
        <w:rPr>
          <w:sz w:val="24"/>
          <w:szCs w:val="24"/>
        </w:rPr>
        <w:t>For the buy-and-hold investor: Turnkey, stabilized, no deferred maintenance. Built 2002 — one of the newest 2-unit buildings in Sharon Hill, meaning lower long-term capex exposure than the 1920s–1950s stock that dominates the borough. Walk away with the keys and a rent check.</w:t>
      </w:r>
    </w:p>
    <w:p w14:paraId="0000000D" w14:textId="77777777" w:rsidR="00753673" w:rsidRDefault="00000000">
      <w:pPr>
        <w:rPr>
          <w:sz w:val="24"/>
          <w:szCs w:val="24"/>
        </w:rPr>
      </w:pPr>
      <w:r>
        <w:rPr>
          <w:sz w:val="24"/>
          <w:szCs w:val="24"/>
        </w:rPr>
        <w:t>Property highlights:</w:t>
      </w:r>
    </w:p>
    <w:p w14:paraId="0000000E" w14:textId="2144E295" w:rsidR="00753673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Built 2002 | 2,198 sq ft total | </w:t>
      </w:r>
      <w:r w:rsidR="002A43DA">
        <w:rPr>
          <w:sz w:val="24"/>
          <w:szCs w:val="24"/>
        </w:rPr>
        <w:t>2</w:t>
      </w:r>
      <w:r>
        <w:rPr>
          <w:sz w:val="24"/>
          <w:szCs w:val="24"/>
        </w:rPr>
        <w:t xml:space="preserve"> bed / 1 bath per unit</w:t>
      </w:r>
    </w:p>
    <w:p w14:paraId="0000000F" w14:textId="77777777" w:rsidR="00753673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Low actual operating expenses — $10,920/year verified</w:t>
      </w:r>
    </w:p>
    <w:p w14:paraId="00000010" w14:textId="77777777" w:rsidR="00753673" w:rsidRDefault="0000000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SEPTA regional rail nearby — strong transit access drives consistent tenant demand and low vacancy risk</w:t>
      </w:r>
    </w:p>
    <w:p w14:paraId="65F4CD40" w14:textId="77777777" w:rsidR="002A43DA" w:rsidRDefault="00000000" w:rsidP="002A43D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Sharon Hill Borough, Delaware County PA — established rental market, high renter concentration</w:t>
      </w:r>
    </w:p>
    <w:p w14:paraId="059642FC" w14:textId="77777777" w:rsidR="002A43DA" w:rsidRDefault="002A43DA" w:rsidP="002A43DA">
      <w:pPr>
        <w:ind w:left="720"/>
        <w:rPr>
          <w:sz w:val="24"/>
          <w:szCs w:val="24"/>
        </w:rPr>
      </w:pPr>
    </w:p>
    <w:p w14:paraId="68AB68D8" w14:textId="77777777" w:rsidR="002A43DA" w:rsidRDefault="002A43DA" w:rsidP="002A43DA">
      <w:pPr>
        <w:rPr>
          <w:sz w:val="24"/>
          <w:szCs w:val="24"/>
        </w:rPr>
      </w:pPr>
      <w:r w:rsidRPr="002A43DA">
        <w:rPr>
          <w:sz w:val="24"/>
          <w:szCs w:val="24"/>
        </w:rPr>
        <w:t>Seller financing considered for the right structure.</w:t>
      </w:r>
    </w:p>
    <w:p w14:paraId="00000014" w14:textId="77777777" w:rsidR="00753673" w:rsidRDefault="00753673">
      <w:pPr>
        <w:rPr>
          <w:sz w:val="24"/>
          <w:szCs w:val="24"/>
        </w:rPr>
      </w:pPr>
    </w:p>
    <w:sectPr w:rsidR="0075367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1176E41-13E5-48A1-A974-F8E860DB497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021490D8-EF86-413E-986A-43817C97F93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9246E"/>
    <w:multiLevelType w:val="multilevel"/>
    <w:tmpl w:val="A63CB8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0FB36FB"/>
    <w:multiLevelType w:val="multilevel"/>
    <w:tmpl w:val="E17C07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752192091">
    <w:abstractNumId w:val="0"/>
  </w:num>
  <w:num w:numId="2" w16cid:durableId="1524635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673"/>
    <w:rsid w:val="0016030A"/>
    <w:rsid w:val="002A43DA"/>
    <w:rsid w:val="00753673"/>
    <w:rsid w:val="00783196"/>
    <w:rsid w:val="00C5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E9D99"/>
  <w15:docId w15:val="{69B7842A-9D1A-4ED5-9DDB-2523ED3B0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 zalidis</cp:lastModifiedBy>
  <cp:revision>3</cp:revision>
  <dcterms:created xsi:type="dcterms:W3CDTF">2026-05-12T16:47:00Z</dcterms:created>
  <dcterms:modified xsi:type="dcterms:W3CDTF">2026-05-12T16:52:00Z</dcterms:modified>
</cp:coreProperties>
</file>