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20CD9" w14:textId="77777777" w:rsidR="00C724A5" w:rsidRDefault="00333DF5">
      <w:pPr>
        <w:spacing w:after="40"/>
      </w:pPr>
      <w:r>
        <w:rPr>
          <w:b/>
          <w:bCs/>
          <w:color w:val="B08D57"/>
          <w:spacing w:val="20"/>
        </w:rPr>
        <w:t>INVESTMENT HIGHLIGHTS</w:t>
      </w:r>
    </w:p>
    <w:p w14:paraId="33D3A1B9" w14:textId="77777777" w:rsidR="00C724A5" w:rsidRDefault="00333DF5">
      <w:pPr>
        <w:pBdr>
          <w:bottom w:val="single" w:sz="12" w:space="8" w:color="1F3A5F"/>
        </w:pBdr>
        <w:spacing w:after="60"/>
      </w:pPr>
      <w:r>
        <w:rPr>
          <w:b/>
          <w:bCs/>
          <w:color w:val="1F3A5F"/>
          <w:sz w:val="52"/>
          <w:szCs w:val="52"/>
        </w:rPr>
        <w:t>Garrison House</w:t>
      </w:r>
    </w:p>
    <w:p w14:paraId="58EFF538" w14:textId="77777777" w:rsidR="00C724A5" w:rsidRDefault="00333DF5">
      <w:pPr>
        <w:spacing w:after="260"/>
      </w:pPr>
      <w:r>
        <w:rPr>
          <w:i/>
          <w:iCs/>
          <w:color w:val="444444"/>
          <w:sz w:val="22"/>
          <w:szCs w:val="22"/>
        </w:rPr>
        <w:t xml:space="preserve">Restaurant, Retail &amp; </w:t>
      </w:r>
      <w:proofErr w:type="gramStart"/>
      <w:r>
        <w:rPr>
          <w:i/>
          <w:iCs/>
          <w:color w:val="444444"/>
          <w:sz w:val="22"/>
          <w:szCs w:val="22"/>
        </w:rPr>
        <w:t>Catering  •</w:t>
      </w:r>
      <w:proofErr w:type="gramEnd"/>
      <w:r>
        <w:rPr>
          <w:i/>
          <w:iCs/>
          <w:color w:val="444444"/>
          <w:sz w:val="22"/>
          <w:szCs w:val="22"/>
        </w:rPr>
        <w:t xml:space="preserve">  Bed &amp; Breakfast / Short-Term Lodging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3477"/>
        <w:gridCol w:w="3477"/>
      </w:tblGrid>
      <w:tr w:rsidR="00C724A5" w14:paraId="34A95FEC" w14:textId="77777777">
        <w:tblPrEx>
          <w:tblCellMar>
            <w:top w:w="0" w:type="dxa"/>
            <w:bottom w:w="0" w:type="dxa"/>
          </w:tblCellMar>
        </w:tblPrEx>
        <w:tc>
          <w:tcPr>
            <w:tcW w:w="165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2F2F2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089F5C55" w14:textId="77777777" w:rsidR="00C724A5" w:rsidRDefault="00333DF5">
            <w:pPr>
              <w:spacing w:after="40"/>
              <w:jc w:val="center"/>
            </w:pPr>
            <w:r>
              <w:rPr>
                <w:b/>
                <w:bCs/>
                <w:color w:val="1F3A5F"/>
                <w:sz w:val="30"/>
                <w:szCs w:val="30"/>
              </w:rPr>
              <w:t>$276,487</w:t>
            </w:r>
          </w:p>
          <w:p w14:paraId="64A5ED70" w14:textId="77777777" w:rsidR="00C724A5" w:rsidRDefault="00333DF5">
            <w:pPr>
              <w:jc w:val="center"/>
            </w:pPr>
            <w:r>
              <w:rPr>
                <w:caps/>
                <w:color w:val="444444"/>
                <w:spacing w:val="10"/>
                <w:sz w:val="16"/>
                <w:szCs w:val="16"/>
              </w:rPr>
              <w:t>2025 Combined Revenue</w:t>
            </w:r>
          </w:p>
        </w:tc>
        <w:tc>
          <w:tcPr>
            <w:tcW w:w="165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2F2F2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4C92C33E" w14:textId="77777777" w:rsidR="00C724A5" w:rsidRDefault="00333DF5">
            <w:pPr>
              <w:spacing w:after="40"/>
              <w:jc w:val="center"/>
            </w:pPr>
            <w:r>
              <w:rPr>
                <w:b/>
                <w:bCs/>
                <w:color w:val="1F3A5F"/>
                <w:sz w:val="30"/>
                <w:szCs w:val="30"/>
              </w:rPr>
              <w:t>$29,717</w:t>
            </w:r>
          </w:p>
          <w:p w14:paraId="35590E65" w14:textId="77777777" w:rsidR="00C724A5" w:rsidRDefault="00333DF5">
            <w:pPr>
              <w:jc w:val="center"/>
            </w:pPr>
            <w:r>
              <w:rPr>
                <w:caps/>
                <w:color w:val="444444"/>
                <w:spacing w:val="10"/>
                <w:sz w:val="16"/>
                <w:szCs w:val="16"/>
              </w:rPr>
              <w:t>2025 Restaurant Net Income</w:t>
            </w:r>
          </w:p>
        </w:tc>
        <w:tc>
          <w:tcPr>
            <w:tcW w:w="165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2F2F2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348A0F9C" w14:textId="77777777" w:rsidR="00C724A5" w:rsidRDefault="00333DF5">
            <w:pPr>
              <w:spacing w:after="40"/>
              <w:jc w:val="center"/>
            </w:pPr>
            <w:r>
              <w:rPr>
                <w:b/>
                <w:bCs/>
                <w:color w:val="1F3A5F"/>
                <w:sz w:val="30"/>
                <w:szCs w:val="30"/>
              </w:rPr>
              <w:t>$23,564</w:t>
            </w:r>
          </w:p>
          <w:p w14:paraId="2F85A220" w14:textId="77777777" w:rsidR="00C724A5" w:rsidRDefault="00333DF5">
            <w:pPr>
              <w:jc w:val="center"/>
            </w:pPr>
            <w:r>
              <w:rPr>
                <w:caps/>
                <w:color w:val="444444"/>
                <w:spacing w:val="10"/>
                <w:sz w:val="16"/>
                <w:szCs w:val="16"/>
              </w:rPr>
              <w:t>2026 YTD Net Income (Combined)</w:t>
            </w:r>
          </w:p>
        </w:tc>
      </w:tr>
    </w:tbl>
    <w:p w14:paraId="60D1A059" w14:textId="77777777" w:rsidR="00C724A5" w:rsidRDefault="00333DF5">
      <w:pPr>
        <w:spacing w:before="320" w:after="140"/>
      </w:pPr>
      <w:r>
        <w:rPr>
          <w:b/>
          <w:bCs/>
          <w:color w:val="1F3A5F"/>
          <w:spacing w:val="12"/>
          <w:sz w:val="22"/>
          <w:szCs w:val="22"/>
        </w:rPr>
        <w:t>WHY IT STANDS OUT</w:t>
      </w:r>
    </w:p>
    <w:p w14:paraId="65015856" w14:textId="77777777" w:rsidR="00C724A5" w:rsidRDefault="00C724A5">
      <w:pPr>
        <w:pBdr>
          <w:bottom w:val="single" w:sz="6" w:space="4" w:color="DDDDDD"/>
        </w:pBdr>
        <w:spacing w:after="180"/>
      </w:pPr>
    </w:p>
    <w:p w14:paraId="7FA6CB8E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 xml:space="preserve">Established, profitable operation — combined food, beverage, retail, catering and </w:t>
      </w:r>
      <w:proofErr w:type="gramStart"/>
      <w:r>
        <w:rPr>
          <w:color w:val="222222"/>
          <w:sz w:val="21"/>
          <w:szCs w:val="21"/>
        </w:rPr>
        <w:t>lodging revenue</w:t>
      </w:r>
      <w:proofErr w:type="gramEnd"/>
      <w:r>
        <w:rPr>
          <w:color w:val="222222"/>
          <w:sz w:val="21"/>
          <w:szCs w:val="21"/>
        </w:rPr>
        <w:t xml:space="preserve"> exceeded $276,000 in full-year 2025.</w:t>
      </w:r>
    </w:p>
    <w:p w14:paraId="3CDC1181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>Restaurant operations posted $29,717 net ordinary income in 2025 on a healthy ~54% gross margin, with $138,716 gross profit already booked through August 2026.</w:t>
      </w:r>
    </w:p>
    <w:p w14:paraId="619852B6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>Diversified, resilient revenue mix — restaurant income spans Food, Beverage, Retail and Catering; lodging blends traditional B&amp;B bookings with Airbnb and supplemental rent income ($21,800 in 2025).</w:t>
      </w:r>
    </w:p>
    <w:p w14:paraId="2BA9E995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>Integrated operating structure — the restaurant entity contributes roughly $36,500–$37,500 per year to the lodging entity, reflecting a coordinated, mutually-supporting property relationship.</w:t>
      </w:r>
    </w:p>
    <w:p w14:paraId="3072CE53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 xml:space="preserve">Positive 2026 momentum — $12,083 restaurant net income and $11,481 lodging net income through August, both tracking in line with </w:t>
      </w:r>
      <w:proofErr w:type="gramStart"/>
      <w:r>
        <w:rPr>
          <w:color w:val="222222"/>
          <w:sz w:val="21"/>
          <w:szCs w:val="21"/>
        </w:rPr>
        <w:t>or</w:t>
      </w:r>
      <w:proofErr w:type="gramEnd"/>
      <w:r>
        <w:rPr>
          <w:color w:val="222222"/>
          <w:sz w:val="21"/>
          <w:szCs w:val="21"/>
        </w:rPr>
        <w:t xml:space="preserve"> ahead of full prior-year pace.</w:t>
      </w:r>
    </w:p>
    <w:p w14:paraId="3F620DC9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>Active, ongoing marketing investment — $9,352 spent on advertising and promotion year-to-date 2026, signaling continued demand generation rather than a coasting operation.</w:t>
      </w:r>
    </w:p>
    <w:p w14:paraId="2FB7A45F" w14:textId="77777777" w:rsidR="00C724A5" w:rsidRDefault="00333DF5">
      <w:pPr>
        <w:spacing w:before="320" w:after="140"/>
      </w:pPr>
      <w:r>
        <w:rPr>
          <w:b/>
          <w:bCs/>
          <w:color w:val="1F3A5F"/>
          <w:spacing w:val="12"/>
          <w:sz w:val="22"/>
          <w:szCs w:val="22"/>
        </w:rPr>
        <w:t>DUE DILIGENCE NOTES</w:t>
      </w:r>
    </w:p>
    <w:p w14:paraId="3329ADE0" w14:textId="77777777" w:rsidR="00C724A5" w:rsidRDefault="00C724A5">
      <w:pPr>
        <w:pBdr>
          <w:bottom w:val="single" w:sz="6" w:space="4" w:color="DDDDDD"/>
        </w:pBdr>
        <w:spacing w:after="180"/>
      </w:pPr>
    </w:p>
    <w:p w14:paraId="61002A4A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>August 2026 showed a restaurant net loss of $4,929 — worth understanding whether this reflects seasonality or a shorter-term trend.</w:t>
      </w:r>
    </w:p>
    <w:p w14:paraId="5E633066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>Meaningful existing debt service: $20,956 in bank interest (Cornerstone Bank) plus $4,361 in SBA interest during 2025; deal structure should clarify whether this debt transfers or is refinanced.</w:t>
      </w:r>
    </w:p>
    <w:p w14:paraId="1E4498E4" w14:textId="77777777" w:rsidR="00C724A5" w:rsidRDefault="00333DF5">
      <w:pPr>
        <w:pStyle w:val="ListParagraph"/>
        <w:numPr>
          <w:ilvl w:val="0"/>
          <w:numId w:val="2"/>
        </w:numPr>
        <w:spacing w:after="140"/>
      </w:pPr>
      <w:r>
        <w:rPr>
          <w:color w:val="222222"/>
          <w:sz w:val="21"/>
          <w:szCs w:val="21"/>
        </w:rPr>
        <w:t>Lodging entity operates at a loss before intercompany income (–$15,358 in 2025); its profitability currently depends on the internal payment from the restaurant, relevant if the properties are ever evaluated separately.</w:t>
      </w:r>
    </w:p>
    <w:p w14:paraId="48AA2284" w14:textId="77777777" w:rsidR="00C724A5" w:rsidRDefault="00333DF5">
      <w:pPr>
        <w:pBdr>
          <w:top w:val="single" w:sz="4" w:space="8" w:color="DDDDDD"/>
        </w:pBdr>
        <w:spacing w:before="420"/>
      </w:pPr>
      <w:r>
        <w:rPr>
          <w:i/>
          <w:iCs/>
          <w:color w:val="888888"/>
          <w:sz w:val="16"/>
          <w:szCs w:val="16"/>
        </w:rPr>
        <w:t xml:space="preserve">Prepared from internal Profit &amp; Loss statements (Cash </w:t>
      </w:r>
      <w:proofErr w:type="gramStart"/>
      <w:r>
        <w:rPr>
          <w:i/>
          <w:iCs/>
          <w:color w:val="888888"/>
          <w:sz w:val="16"/>
          <w:szCs w:val="16"/>
        </w:rPr>
        <w:t>Basis) —</w:t>
      </w:r>
      <w:proofErr w:type="gramEnd"/>
      <w:r>
        <w:rPr>
          <w:i/>
          <w:iCs/>
          <w:color w:val="888888"/>
          <w:sz w:val="16"/>
          <w:szCs w:val="16"/>
        </w:rPr>
        <w:t xml:space="preserve"> August 2026 and full-year 2025.</w:t>
      </w:r>
    </w:p>
    <w:sectPr w:rsidR="00C724A5">
      <w:pgSz w:w="12240" w:h="15840"/>
      <w:pgMar w:top="720" w:right="900" w:bottom="72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87E7E"/>
    <w:multiLevelType w:val="hybridMultilevel"/>
    <w:tmpl w:val="1186C7A2"/>
    <w:lvl w:ilvl="0" w:tplc="08E80904">
      <w:start w:val="1"/>
      <w:numFmt w:val="bullet"/>
      <w:lvlText w:val="•"/>
      <w:lvlJc w:val="left"/>
      <w:pPr>
        <w:ind w:left="340" w:hanging="220"/>
      </w:pPr>
      <w:rPr>
        <w:b/>
        <w:bCs/>
        <w:color w:val="B08D57"/>
      </w:rPr>
    </w:lvl>
    <w:lvl w:ilvl="1" w:tplc="236A07BE">
      <w:numFmt w:val="decimal"/>
      <w:lvlText w:val=""/>
      <w:lvlJc w:val="left"/>
    </w:lvl>
    <w:lvl w:ilvl="2" w:tplc="6A9C3ECE">
      <w:numFmt w:val="decimal"/>
      <w:lvlText w:val=""/>
      <w:lvlJc w:val="left"/>
    </w:lvl>
    <w:lvl w:ilvl="3" w:tplc="EFBA605C">
      <w:numFmt w:val="decimal"/>
      <w:lvlText w:val=""/>
      <w:lvlJc w:val="left"/>
    </w:lvl>
    <w:lvl w:ilvl="4" w:tplc="44A60ADA">
      <w:numFmt w:val="decimal"/>
      <w:lvlText w:val=""/>
      <w:lvlJc w:val="left"/>
    </w:lvl>
    <w:lvl w:ilvl="5" w:tplc="8D3E2EE6">
      <w:numFmt w:val="decimal"/>
      <w:lvlText w:val=""/>
      <w:lvlJc w:val="left"/>
    </w:lvl>
    <w:lvl w:ilvl="6" w:tplc="9FB2F04A">
      <w:numFmt w:val="decimal"/>
      <w:lvlText w:val=""/>
      <w:lvlJc w:val="left"/>
    </w:lvl>
    <w:lvl w:ilvl="7" w:tplc="E954D3E6">
      <w:numFmt w:val="decimal"/>
      <w:lvlText w:val=""/>
      <w:lvlJc w:val="left"/>
    </w:lvl>
    <w:lvl w:ilvl="8" w:tplc="DEAC14B0">
      <w:numFmt w:val="decimal"/>
      <w:lvlText w:val=""/>
      <w:lvlJc w:val="left"/>
    </w:lvl>
  </w:abstractNum>
  <w:abstractNum w:abstractNumId="1" w15:restartNumberingAfterBreak="0">
    <w:nsid w:val="47E607F3"/>
    <w:multiLevelType w:val="hybridMultilevel"/>
    <w:tmpl w:val="40BCDA3A"/>
    <w:lvl w:ilvl="0" w:tplc="A4B40780">
      <w:start w:val="1"/>
      <w:numFmt w:val="bullet"/>
      <w:lvlText w:val="●"/>
      <w:lvlJc w:val="left"/>
      <w:pPr>
        <w:ind w:left="720" w:hanging="360"/>
      </w:pPr>
    </w:lvl>
    <w:lvl w:ilvl="1" w:tplc="07268974">
      <w:start w:val="1"/>
      <w:numFmt w:val="bullet"/>
      <w:lvlText w:val="○"/>
      <w:lvlJc w:val="left"/>
      <w:pPr>
        <w:ind w:left="1440" w:hanging="360"/>
      </w:pPr>
    </w:lvl>
    <w:lvl w:ilvl="2" w:tplc="89CA97CC">
      <w:start w:val="1"/>
      <w:numFmt w:val="bullet"/>
      <w:lvlText w:val="■"/>
      <w:lvlJc w:val="left"/>
      <w:pPr>
        <w:ind w:left="2160" w:hanging="360"/>
      </w:pPr>
    </w:lvl>
    <w:lvl w:ilvl="3" w:tplc="0E7C2C06">
      <w:start w:val="1"/>
      <w:numFmt w:val="bullet"/>
      <w:lvlText w:val="●"/>
      <w:lvlJc w:val="left"/>
      <w:pPr>
        <w:ind w:left="2880" w:hanging="360"/>
      </w:pPr>
    </w:lvl>
    <w:lvl w:ilvl="4" w:tplc="37DED2D0">
      <w:start w:val="1"/>
      <w:numFmt w:val="bullet"/>
      <w:lvlText w:val="○"/>
      <w:lvlJc w:val="left"/>
      <w:pPr>
        <w:ind w:left="3600" w:hanging="360"/>
      </w:pPr>
    </w:lvl>
    <w:lvl w:ilvl="5" w:tplc="075CB068">
      <w:start w:val="1"/>
      <w:numFmt w:val="bullet"/>
      <w:lvlText w:val="■"/>
      <w:lvlJc w:val="left"/>
      <w:pPr>
        <w:ind w:left="4320" w:hanging="360"/>
      </w:pPr>
    </w:lvl>
    <w:lvl w:ilvl="6" w:tplc="25A46B32">
      <w:start w:val="1"/>
      <w:numFmt w:val="bullet"/>
      <w:lvlText w:val="●"/>
      <w:lvlJc w:val="left"/>
      <w:pPr>
        <w:ind w:left="5040" w:hanging="360"/>
      </w:pPr>
    </w:lvl>
    <w:lvl w:ilvl="7" w:tplc="E77AF28C">
      <w:start w:val="1"/>
      <w:numFmt w:val="bullet"/>
      <w:lvlText w:val="●"/>
      <w:lvlJc w:val="left"/>
      <w:pPr>
        <w:ind w:left="5760" w:hanging="360"/>
      </w:pPr>
    </w:lvl>
    <w:lvl w:ilvl="8" w:tplc="73260BB2">
      <w:start w:val="1"/>
      <w:numFmt w:val="bullet"/>
      <w:lvlText w:val="●"/>
      <w:lvlJc w:val="left"/>
      <w:pPr>
        <w:ind w:left="6480" w:hanging="360"/>
      </w:pPr>
    </w:lvl>
  </w:abstractNum>
  <w:num w:numId="1" w16cid:durableId="1758285684">
    <w:abstractNumId w:val="1"/>
    <w:lvlOverride w:ilvl="0">
      <w:startOverride w:val="1"/>
    </w:lvlOverride>
  </w:num>
  <w:num w:numId="2" w16cid:durableId="87820230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4A5"/>
    <w:rsid w:val="00333DF5"/>
    <w:rsid w:val="009522E5"/>
    <w:rsid w:val="00B51BAA"/>
    <w:rsid w:val="00C05A18"/>
    <w:rsid w:val="00C7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AEF0B"/>
  <w15:docId w15:val="{EB305E30-2B2C-4611-9305-0DB185C9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Charles Thomas</cp:lastModifiedBy>
  <cp:revision>2</cp:revision>
  <dcterms:created xsi:type="dcterms:W3CDTF">2026-09-11T01:58:00Z</dcterms:created>
  <dcterms:modified xsi:type="dcterms:W3CDTF">2026-09-11T01:58:00Z</dcterms:modified>
</cp:coreProperties>
</file>