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C374637" w14:textId="356AED16" w:rsidR="00E52E39" w:rsidRDefault="00B45DA1">
      <w:pPr>
        <w:jc w:val="center"/>
      </w:pPr>
      <w:r>
        <w:rPr>
          <w:noProof/>
        </w:rPr>
        <w:drawing>
          <wp:inline distT="0" distB="0" distL="0" distR="0" wp14:anchorId="15715335" wp14:editId="62162641">
            <wp:extent cx="5335303" cy="4001477"/>
            <wp:effectExtent l="0" t="0" r="0" b="0"/>
            <wp:docPr id="10779991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999156" name="Picture 107799915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0295" cy="4027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D849E" w14:textId="77777777" w:rsidR="00E52E39" w:rsidRDefault="00000000">
      <w:pPr>
        <w:spacing w:before="120" w:after="70" w:line="264" w:lineRule="auto"/>
      </w:pPr>
      <w:r>
        <w:rPr>
          <w:b/>
          <w:bCs/>
          <w:color w:val="42A5A0"/>
          <w:sz w:val="32"/>
          <w:szCs w:val="32"/>
        </w:rPr>
        <w:t>OFFERED AT $6,500,000</w:t>
      </w:r>
    </w:p>
    <w:p w14:paraId="73259D07" w14:textId="77777777" w:rsidR="00E52E39" w:rsidRDefault="00000000">
      <w:pPr>
        <w:spacing w:before="40" w:after="20" w:line="500" w:lineRule="auto"/>
      </w:pPr>
      <w:r>
        <w:rPr>
          <w:b/>
          <w:bCs/>
          <w:sz w:val="40"/>
          <w:szCs w:val="40"/>
        </w:rPr>
        <w:t>1686 Hayes Street</w:t>
      </w:r>
    </w:p>
    <w:p w14:paraId="05060A83" w14:textId="77777777" w:rsidR="00E52E39" w:rsidRDefault="00000000">
      <w:pPr>
        <w:spacing w:after="8" w:line="264" w:lineRule="auto"/>
      </w:pPr>
      <w:r>
        <w:rPr>
          <w:color w:val="6B6B6B"/>
          <w:sz w:val="22"/>
          <w:szCs w:val="22"/>
        </w:rPr>
        <w:t>San Francisco, CA 94117</w:t>
      </w:r>
    </w:p>
    <w:p w14:paraId="53CDE588" w14:textId="77777777" w:rsidR="00E52E39" w:rsidRDefault="00000000">
      <w:pPr>
        <w:spacing w:after="140" w:line="264" w:lineRule="auto"/>
      </w:pPr>
      <w:r>
        <w:rPr>
          <w:color w:val="42A5A0"/>
          <w:sz w:val="16"/>
          <w:szCs w:val="16"/>
        </w:rPr>
        <w:t xml:space="preserve">±11-Unit Mixed-Use Apartment </w:t>
      </w:r>
      <w:proofErr w:type="gramStart"/>
      <w:r>
        <w:rPr>
          <w:color w:val="42A5A0"/>
          <w:sz w:val="16"/>
          <w:szCs w:val="16"/>
        </w:rPr>
        <w:t>Building  ·</w:t>
      </w:r>
      <w:proofErr w:type="gramEnd"/>
      <w:r>
        <w:rPr>
          <w:color w:val="42A5A0"/>
          <w:sz w:val="16"/>
          <w:szCs w:val="16"/>
        </w:rPr>
        <w:t xml:space="preserve">  9 Residential + 2 Commercial + 3 </w:t>
      </w:r>
      <w:proofErr w:type="gramStart"/>
      <w:r>
        <w:rPr>
          <w:color w:val="42A5A0"/>
          <w:sz w:val="16"/>
          <w:szCs w:val="16"/>
        </w:rPr>
        <w:t>Garages  ·</w:t>
      </w:r>
      <w:proofErr w:type="gramEnd"/>
      <w:r>
        <w:rPr>
          <w:color w:val="42A5A0"/>
          <w:sz w:val="16"/>
          <w:szCs w:val="16"/>
        </w:rPr>
        <w:t xml:space="preserve">  NoPa / Alamo Square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2"/>
        <w:gridCol w:w="1872"/>
        <w:gridCol w:w="1872"/>
        <w:gridCol w:w="1872"/>
        <w:gridCol w:w="1872"/>
      </w:tblGrid>
      <w:tr w:rsidR="00E52E39" w14:paraId="21B65176" w14:textId="77777777">
        <w:tblPrEx>
          <w:tblCellMar>
            <w:top w:w="0" w:type="dxa"/>
            <w:bottom w:w="0" w:type="dxa"/>
          </w:tblCellMar>
        </w:tblPrEx>
        <w:tc>
          <w:tcPr>
            <w:tcW w:w="187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F0EE"/>
            <w:tcMar>
              <w:top w:w="90" w:type="dxa"/>
              <w:left w:w="80" w:type="dxa"/>
              <w:bottom w:w="90" w:type="dxa"/>
              <w:right w:w="80" w:type="dxa"/>
            </w:tcMar>
            <w:vAlign w:val="center"/>
          </w:tcPr>
          <w:p w14:paraId="1CEB771D" w14:textId="77777777" w:rsidR="00E52E39" w:rsidRDefault="00000000">
            <w:pPr>
              <w:spacing w:after="20"/>
              <w:jc w:val="center"/>
            </w:pPr>
            <w:r>
              <w:rPr>
                <w:b/>
                <w:bCs/>
                <w:sz w:val="26"/>
                <w:szCs w:val="26"/>
              </w:rPr>
              <w:t>$6.5M</w:t>
            </w:r>
          </w:p>
          <w:p w14:paraId="10454BCF" w14:textId="77777777" w:rsidR="00E52E39" w:rsidRDefault="00000000">
            <w:pPr>
              <w:jc w:val="center"/>
            </w:pPr>
            <w:r>
              <w:rPr>
                <w:caps/>
                <w:color w:val="6B6B6B"/>
                <w:sz w:val="14"/>
                <w:szCs w:val="14"/>
              </w:rPr>
              <w:t>Price</w:t>
            </w:r>
          </w:p>
        </w:tc>
        <w:tc>
          <w:tcPr>
            <w:tcW w:w="187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F0EE"/>
            <w:tcMar>
              <w:top w:w="90" w:type="dxa"/>
              <w:left w:w="80" w:type="dxa"/>
              <w:bottom w:w="90" w:type="dxa"/>
              <w:right w:w="80" w:type="dxa"/>
            </w:tcMar>
            <w:vAlign w:val="center"/>
          </w:tcPr>
          <w:p w14:paraId="4D7A077C" w14:textId="77777777" w:rsidR="00E52E39" w:rsidRDefault="00000000">
            <w:pPr>
              <w:spacing w:after="20"/>
              <w:jc w:val="center"/>
            </w:pPr>
            <w:r>
              <w:rPr>
                <w:b/>
                <w:bCs/>
                <w:sz w:val="26"/>
                <w:szCs w:val="26"/>
              </w:rPr>
              <w:t>±11</w:t>
            </w:r>
          </w:p>
          <w:p w14:paraId="5D7DFE3B" w14:textId="77777777" w:rsidR="00E52E39" w:rsidRDefault="00000000">
            <w:pPr>
              <w:jc w:val="center"/>
            </w:pPr>
            <w:r>
              <w:rPr>
                <w:caps/>
                <w:color w:val="6B6B6B"/>
                <w:sz w:val="14"/>
                <w:szCs w:val="14"/>
              </w:rPr>
              <w:t>Units</w:t>
            </w:r>
          </w:p>
        </w:tc>
        <w:tc>
          <w:tcPr>
            <w:tcW w:w="187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F0EE"/>
            <w:tcMar>
              <w:top w:w="90" w:type="dxa"/>
              <w:left w:w="80" w:type="dxa"/>
              <w:bottom w:w="90" w:type="dxa"/>
              <w:right w:w="80" w:type="dxa"/>
            </w:tcMar>
            <w:vAlign w:val="center"/>
          </w:tcPr>
          <w:p w14:paraId="458F03A3" w14:textId="77777777" w:rsidR="00E52E39" w:rsidRDefault="00000000">
            <w:pPr>
              <w:spacing w:after="20"/>
              <w:jc w:val="center"/>
            </w:pPr>
            <w:r>
              <w:rPr>
                <w:b/>
                <w:bCs/>
                <w:sz w:val="26"/>
                <w:szCs w:val="26"/>
              </w:rPr>
              <w:t>10,050 SF</w:t>
            </w:r>
          </w:p>
          <w:p w14:paraId="1A8B54C4" w14:textId="77777777" w:rsidR="00E52E39" w:rsidRDefault="00000000">
            <w:pPr>
              <w:jc w:val="center"/>
            </w:pPr>
            <w:r>
              <w:rPr>
                <w:caps/>
                <w:color w:val="6B6B6B"/>
                <w:sz w:val="14"/>
                <w:szCs w:val="14"/>
              </w:rPr>
              <w:t>Building</w:t>
            </w:r>
          </w:p>
        </w:tc>
        <w:tc>
          <w:tcPr>
            <w:tcW w:w="187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F0EE"/>
            <w:tcMar>
              <w:top w:w="90" w:type="dxa"/>
              <w:left w:w="80" w:type="dxa"/>
              <w:bottom w:w="90" w:type="dxa"/>
              <w:right w:w="80" w:type="dxa"/>
            </w:tcMar>
            <w:vAlign w:val="center"/>
          </w:tcPr>
          <w:p w14:paraId="6E3FA0CB" w14:textId="77777777" w:rsidR="00E52E39" w:rsidRDefault="00000000">
            <w:pPr>
              <w:spacing w:after="20"/>
              <w:jc w:val="center"/>
            </w:pPr>
            <w:r>
              <w:rPr>
                <w:b/>
                <w:bCs/>
                <w:sz w:val="26"/>
                <w:szCs w:val="26"/>
              </w:rPr>
              <w:t>6.0%</w:t>
            </w:r>
          </w:p>
          <w:p w14:paraId="1A08716D" w14:textId="77777777" w:rsidR="00E52E39" w:rsidRDefault="00000000">
            <w:pPr>
              <w:jc w:val="center"/>
            </w:pPr>
            <w:r>
              <w:rPr>
                <w:caps/>
                <w:color w:val="6B6B6B"/>
                <w:sz w:val="14"/>
                <w:szCs w:val="14"/>
              </w:rPr>
              <w:t>Cap*</w:t>
            </w:r>
          </w:p>
        </w:tc>
        <w:tc>
          <w:tcPr>
            <w:tcW w:w="187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F0EE"/>
            <w:tcMar>
              <w:top w:w="90" w:type="dxa"/>
              <w:left w:w="80" w:type="dxa"/>
              <w:bottom w:w="90" w:type="dxa"/>
              <w:right w:w="80" w:type="dxa"/>
            </w:tcMar>
            <w:vAlign w:val="center"/>
          </w:tcPr>
          <w:p w14:paraId="50F428CE" w14:textId="77777777" w:rsidR="00E52E39" w:rsidRDefault="00000000">
            <w:pPr>
              <w:spacing w:after="20"/>
              <w:jc w:val="center"/>
            </w:pPr>
            <w:r>
              <w:rPr>
                <w:b/>
                <w:bCs/>
                <w:sz w:val="26"/>
                <w:szCs w:val="26"/>
              </w:rPr>
              <w:t>14.8</w:t>
            </w:r>
          </w:p>
          <w:p w14:paraId="41CE483E" w14:textId="77777777" w:rsidR="00E52E39" w:rsidRDefault="00000000">
            <w:pPr>
              <w:jc w:val="center"/>
            </w:pPr>
            <w:r>
              <w:rPr>
                <w:caps/>
                <w:color w:val="6B6B6B"/>
                <w:sz w:val="14"/>
                <w:szCs w:val="14"/>
              </w:rPr>
              <w:t>GRM*</w:t>
            </w:r>
          </w:p>
        </w:tc>
      </w:tr>
    </w:tbl>
    <w:p w14:paraId="6A5FD4A9" w14:textId="77777777" w:rsidR="00E52E39" w:rsidRDefault="00000000">
      <w:pPr>
        <w:spacing w:before="60" w:after="60" w:line="264" w:lineRule="auto"/>
      </w:pPr>
      <w:r>
        <w:rPr>
          <w:i/>
          <w:iCs/>
          <w:color w:val="6B6B6B"/>
          <w:sz w:val="14"/>
          <w:szCs w:val="14"/>
        </w:rPr>
        <w:t>*Pro-forma — stabilized gross income, reported operating expenses, before property-tax reassessment.</w:t>
      </w:r>
    </w:p>
    <w:p w14:paraId="796E4B75" w14:textId="77777777" w:rsidR="00E52E39" w:rsidRDefault="00000000">
      <w:pPr>
        <w:pBdr>
          <w:bottom w:val="single" w:sz="8" w:space="3" w:color="42A5A0"/>
        </w:pBdr>
        <w:spacing w:before="140" w:after="55"/>
      </w:pPr>
      <w:r>
        <w:rPr>
          <w:b/>
          <w:bCs/>
          <w:color w:val="42A5A0"/>
          <w:sz w:val="24"/>
          <w:szCs w:val="24"/>
        </w:rPr>
        <w:t>Investment Highlights</w:t>
      </w:r>
    </w:p>
    <w:p w14:paraId="1751AF35" w14:textId="77777777" w:rsidR="00E52E39" w:rsidRDefault="00000000">
      <w:pPr>
        <w:pStyle w:val="ListParagraph"/>
        <w:numPr>
          <w:ilvl w:val="0"/>
          <w:numId w:val="2"/>
        </w:numPr>
        <w:spacing w:after="90" w:line="264" w:lineRule="auto"/>
      </w:pPr>
      <w:r>
        <w:rPr>
          <w:sz w:val="19"/>
          <w:szCs w:val="19"/>
        </w:rPr>
        <w:t>Rare corner mixed-use asset — nine residential apartments (incl. a JADU), two ground-floor commercial units, and three private garages.</w:t>
      </w:r>
    </w:p>
    <w:p w14:paraId="33BB46B7" w14:textId="77777777" w:rsidR="00E52E39" w:rsidRDefault="00000000">
      <w:pPr>
        <w:pStyle w:val="ListParagraph"/>
        <w:numPr>
          <w:ilvl w:val="0"/>
          <w:numId w:val="2"/>
        </w:numPr>
        <w:spacing w:after="90" w:line="264" w:lineRule="auto"/>
      </w:pPr>
      <w:r>
        <w:rPr>
          <w:sz w:val="19"/>
          <w:szCs w:val="19"/>
        </w:rPr>
        <w:t>Prime NoPa / Alamo Square location on the walkable, transit-rich Hayes Street corridor.</w:t>
      </w:r>
    </w:p>
    <w:p w14:paraId="3294B8BE" w14:textId="77777777" w:rsidR="00E52E39" w:rsidRDefault="00000000">
      <w:pPr>
        <w:pStyle w:val="ListParagraph"/>
        <w:numPr>
          <w:ilvl w:val="0"/>
          <w:numId w:val="2"/>
        </w:numPr>
        <w:spacing w:after="90" w:line="264" w:lineRule="auto"/>
      </w:pPr>
      <w:r>
        <w:rPr>
          <w:sz w:val="19"/>
          <w:szCs w:val="19"/>
        </w:rPr>
        <w:t>Diversified income — apartments plus a neighborhood bakery and the Scarlet Fox wine bar on long-term leases.</w:t>
      </w:r>
    </w:p>
    <w:p w14:paraId="0E8017D6" w14:textId="77777777" w:rsidR="00E52E39" w:rsidRDefault="00000000">
      <w:pPr>
        <w:pStyle w:val="ListParagraph"/>
        <w:numPr>
          <w:ilvl w:val="0"/>
          <w:numId w:val="2"/>
        </w:numPr>
        <w:spacing w:after="90" w:line="264" w:lineRule="auto"/>
      </w:pPr>
      <w:r>
        <w:rPr>
          <w:sz w:val="19"/>
          <w:szCs w:val="19"/>
        </w:rPr>
        <w:t>Immediate value-add — lease up the vacant JADU and oversized garage; in-place $402,168 rising to $439,368 pro-forma.</w:t>
      </w:r>
    </w:p>
    <w:p w14:paraId="631F12CE" w14:textId="77777777" w:rsidR="00E52E39" w:rsidRDefault="00000000">
      <w:pPr>
        <w:pStyle w:val="ListParagraph"/>
        <w:numPr>
          <w:ilvl w:val="0"/>
          <w:numId w:val="2"/>
        </w:numPr>
        <w:spacing w:after="90" w:line="264" w:lineRule="auto"/>
      </w:pPr>
      <w:r>
        <w:rPr>
          <w:sz w:val="19"/>
          <w:szCs w:val="19"/>
        </w:rPr>
        <w:t>Additional loss-to-lease upside across below-market residential units already on scheduled annual increases.</w:t>
      </w:r>
    </w:p>
    <w:p w14:paraId="3A214D2A" w14:textId="77777777" w:rsidR="00E52E39" w:rsidRDefault="00000000">
      <w:pPr>
        <w:pStyle w:val="ListParagraph"/>
        <w:numPr>
          <w:ilvl w:val="0"/>
          <w:numId w:val="2"/>
        </w:numPr>
        <w:spacing w:after="90" w:line="264" w:lineRule="auto"/>
      </w:pPr>
      <w:r>
        <w:rPr>
          <w:sz w:val="19"/>
          <w:szCs w:val="19"/>
        </w:rPr>
        <w:t>Excellent condition and irreplaceable at today’s land and construction costs — a durable long-term hold.</w:t>
      </w:r>
    </w:p>
    <w:p w14:paraId="2A9A266A" w14:textId="77777777" w:rsidR="00E52E39" w:rsidRDefault="00000000">
      <w:r>
        <w:br w:type="page"/>
      </w:r>
    </w:p>
    <w:p w14:paraId="76C08865" w14:textId="77777777" w:rsidR="00E52E39" w:rsidRDefault="00000000">
      <w:pPr>
        <w:pBdr>
          <w:bottom w:val="single" w:sz="8" w:space="3" w:color="42A5A0"/>
        </w:pBdr>
        <w:spacing w:before="140" w:after="55"/>
      </w:pPr>
      <w:r>
        <w:rPr>
          <w:b/>
          <w:bCs/>
          <w:color w:val="42A5A0"/>
          <w:sz w:val="24"/>
          <w:szCs w:val="24"/>
        </w:rPr>
        <w:lastRenderedPageBreak/>
        <w:t>Property Gallery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E52E39" w14:paraId="7A5099E7" w14:textId="77777777">
        <w:tblPrEx>
          <w:tblCellMar>
            <w:top w:w="0" w:type="dxa"/>
            <w:bottom w:w="0" w:type="dxa"/>
          </w:tblCellMar>
        </w:tblPrEx>
        <w:tc>
          <w:tcPr>
            <w:tcW w:w="4560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33D8D5E" w14:textId="77777777" w:rsidR="00E52E39" w:rsidRDefault="00000000">
            <w:pPr>
              <w:spacing w:after="8"/>
              <w:jc w:val="center"/>
            </w:pPr>
            <w:r>
              <w:rPr>
                <w:noProof/>
              </w:rPr>
              <w:drawing>
                <wp:inline distT="0" distB="0" distL="0" distR="0" wp14:anchorId="1E2BA3A4" wp14:editId="0B318001">
                  <wp:extent cx="2438400" cy="1828800"/>
                  <wp:effectExtent l="0" t="0" r="0" b="0"/>
                  <wp:docPr id="680657402" name="Picture 6806574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652098" w14:textId="77777777" w:rsidR="00E52E39" w:rsidRDefault="00000000">
            <w:pPr>
              <w:jc w:val="center"/>
            </w:pPr>
            <w:r>
              <w:rPr>
                <w:i/>
                <w:iCs/>
                <w:color w:val="6B6B6B"/>
                <w:sz w:val="14"/>
                <w:szCs w:val="14"/>
              </w:rPr>
              <w:t>Three private garages</w:t>
            </w:r>
          </w:p>
        </w:tc>
        <w:tc>
          <w:tcPr>
            <w:tcW w:w="4560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1A05210" w14:textId="77777777" w:rsidR="00E52E39" w:rsidRDefault="00000000">
            <w:pPr>
              <w:spacing w:after="8"/>
              <w:jc w:val="center"/>
            </w:pPr>
            <w:r>
              <w:rPr>
                <w:noProof/>
              </w:rPr>
              <w:drawing>
                <wp:inline distT="0" distB="0" distL="0" distR="0" wp14:anchorId="05086D66" wp14:editId="2F599D06">
                  <wp:extent cx="2438400" cy="1828800"/>
                  <wp:effectExtent l="0" t="0" r="0" b="0"/>
                  <wp:docPr id="1417630421" name="Picture 14176304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7930C4" w14:textId="77777777" w:rsidR="00E52E39" w:rsidRDefault="00000000">
            <w:pPr>
              <w:jc w:val="center"/>
            </w:pPr>
            <w:r>
              <w:rPr>
                <w:i/>
                <w:iCs/>
                <w:color w:val="6B6B6B"/>
                <w:sz w:val="14"/>
                <w:szCs w:val="14"/>
              </w:rPr>
              <w:t>Ground-floor bakery (1696)</w:t>
            </w:r>
          </w:p>
        </w:tc>
      </w:tr>
    </w:tbl>
    <w:p w14:paraId="012D36CC" w14:textId="77777777" w:rsidR="00E52E39" w:rsidRDefault="00E52E39">
      <w:pPr>
        <w:spacing w:after="16" w:line="264" w:lineRule="auto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E52E39" w14:paraId="07792465" w14:textId="77777777">
        <w:tblPrEx>
          <w:tblCellMar>
            <w:top w:w="0" w:type="dxa"/>
            <w:bottom w:w="0" w:type="dxa"/>
          </w:tblCellMar>
        </w:tblPrEx>
        <w:tc>
          <w:tcPr>
            <w:tcW w:w="4560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E9BD799" w14:textId="77777777" w:rsidR="00E52E39" w:rsidRDefault="00000000">
            <w:pPr>
              <w:spacing w:after="8"/>
              <w:jc w:val="center"/>
            </w:pPr>
            <w:r>
              <w:rPr>
                <w:noProof/>
              </w:rPr>
              <w:drawing>
                <wp:inline distT="0" distB="0" distL="0" distR="0" wp14:anchorId="1BE9C726" wp14:editId="7289B9B8">
                  <wp:extent cx="1371600" cy="1828800"/>
                  <wp:effectExtent l="0" t="0" r="0" b="0"/>
                  <wp:docPr id="1605249011" name="Picture 1605249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AAD7DB" w14:textId="77777777" w:rsidR="00E52E39" w:rsidRDefault="00000000">
            <w:pPr>
              <w:jc w:val="center"/>
            </w:pPr>
            <w:r>
              <w:rPr>
                <w:i/>
                <w:iCs/>
                <w:color w:val="6B6B6B"/>
                <w:sz w:val="14"/>
                <w:szCs w:val="14"/>
              </w:rPr>
              <w:t>Residential interior</w:t>
            </w:r>
          </w:p>
        </w:tc>
        <w:tc>
          <w:tcPr>
            <w:tcW w:w="4560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427D89A" w14:textId="77777777" w:rsidR="00E52E39" w:rsidRDefault="00000000">
            <w:pPr>
              <w:spacing w:after="8"/>
              <w:jc w:val="center"/>
            </w:pPr>
            <w:r>
              <w:rPr>
                <w:noProof/>
              </w:rPr>
              <w:drawing>
                <wp:inline distT="0" distB="0" distL="0" distR="0" wp14:anchorId="28A6BB89" wp14:editId="1F753BA2">
                  <wp:extent cx="2438400" cy="1828800"/>
                  <wp:effectExtent l="0" t="0" r="0" b="0"/>
                  <wp:docPr id="1404284593" name="Picture 14042845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AD894C" w14:textId="77777777" w:rsidR="00E52E39" w:rsidRDefault="00000000">
            <w:pPr>
              <w:jc w:val="center"/>
            </w:pPr>
            <w:r>
              <w:rPr>
                <w:i/>
                <w:iCs/>
                <w:color w:val="6B6B6B"/>
                <w:sz w:val="14"/>
                <w:szCs w:val="14"/>
              </w:rPr>
              <w:t>Scarlet Fox wine bar</w:t>
            </w:r>
          </w:p>
        </w:tc>
      </w:tr>
    </w:tbl>
    <w:p w14:paraId="4D75ECDD" w14:textId="77777777" w:rsidR="00E52E39" w:rsidRDefault="00000000">
      <w:pPr>
        <w:pBdr>
          <w:bottom w:val="single" w:sz="8" w:space="3" w:color="42A5A0"/>
        </w:pBdr>
        <w:spacing w:before="140" w:after="55"/>
      </w:pPr>
      <w:r>
        <w:rPr>
          <w:b/>
          <w:bCs/>
          <w:color w:val="42A5A0"/>
          <w:sz w:val="24"/>
          <w:szCs w:val="24"/>
        </w:rPr>
        <w:t>Financial Snapshot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60"/>
        <w:gridCol w:w="2500"/>
        <w:gridCol w:w="2500"/>
      </w:tblGrid>
      <w:tr w:rsidR="00E52E39" w14:paraId="204E1217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4360" w:type="dxa"/>
            <w:shd w:val="clear" w:color="auto" w:fill="42A5A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0CC0A3" w14:textId="77777777" w:rsidR="00E52E39" w:rsidRDefault="00E52E39"/>
        </w:tc>
        <w:tc>
          <w:tcPr>
            <w:tcW w:w="2500" w:type="dxa"/>
            <w:shd w:val="clear" w:color="auto" w:fill="42A5A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4470BB3" w14:textId="77777777" w:rsidR="00E52E39" w:rsidRDefault="00000000">
            <w:pPr>
              <w:jc w:val="center"/>
            </w:pPr>
            <w:r>
              <w:rPr>
                <w:b/>
                <w:bCs/>
                <w:caps/>
                <w:color w:val="FFFFFF"/>
                <w:sz w:val="17"/>
                <w:szCs w:val="17"/>
              </w:rPr>
              <w:t>IN-PLACE</w:t>
            </w:r>
          </w:p>
        </w:tc>
        <w:tc>
          <w:tcPr>
            <w:tcW w:w="2500" w:type="dxa"/>
            <w:shd w:val="clear" w:color="auto" w:fill="42A5A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98ADBD" w14:textId="77777777" w:rsidR="00E52E39" w:rsidRDefault="00000000">
            <w:pPr>
              <w:jc w:val="center"/>
            </w:pPr>
            <w:r>
              <w:rPr>
                <w:b/>
                <w:bCs/>
                <w:caps/>
                <w:color w:val="FFFFFF"/>
                <w:sz w:val="17"/>
                <w:szCs w:val="17"/>
              </w:rPr>
              <w:t>PRO-FORMA</w:t>
            </w:r>
          </w:p>
        </w:tc>
      </w:tr>
      <w:tr w:rsidR="00E52E39" w14:paraId="3116F265" w14:textId="77777777">
        <w:tblPrEx>
          <w:tblCellMar>
            <w:top w:w="0" w:type="dxa"/>
            <w:bottom w:w="0" w:type="dxa"/>
          </w:tblCellMar>
        </w:tblPrEx>
        <w:tc>
          <w:tcPr>
            <w:tcW w:w="4360" w:type="dxa"/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E18BB84" w14:textId="77777777" w:rsidR="00E52E39" w:rsidRDefault="00000000">
            <w:r>
              <w:rPr>
                <w:sz w:val="18"/>
                <w:szCs w:val="18"/>
              </w:rPr>
              <w:t>Gross Scheduled Income</w:t>
            </w:r>
          </w:p>
        </w:tc>
        <w:tc>
          <w:tcPr>
            <w:tcW w:w="2500" w:type="dxa"/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5DEBBE0" w14:textId="77777777" w:rsidR="00E52E39" w:rsidRDefault="00000000">
            <w:pPr>
              <w:jc w:val="center"/>
            </w:pPr>
            <w:r>
              <w:rPr>
                <w:sz w:val="18"/>
                <w:szCs w:val="18"/>
              </w:rPr>
              <w:t>$402,168</w:t>
            </w:r>
          </w:p>
        </w:tc>
        <w:tc>
          <w:tcPr>
            <w:tcW w:w="2500" w:type="dxa"/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CDA630F" w14:textId="77777777" w:rsidR="00E52E39" w:rsidRDefault="00000000">
            <w:pPr>
              <w:jc w:val="center"/>
            </w:pPr>
            <w:r>
              <w:rPr>
                <w:sz w:val="18"/>
                <w:szCs w:val="18"/>
              </w:rPr>
              <w:t>$439,368</w:t>
            </w:r>
          </w:p>
        </w:tc>
      </w:tr>
      <w:tr w:rsidR="00E52E39" w14:paraId="4546B4E2" w14:textId="77777777">
        <w:tblPrEx>
          <w:tblCellMar>
            <w:top w:w="0" w:type="dxa"/>
            <w:bottom w:w="0" w:type="dxa"/>
          </w:tblCellMar>
        </w:tblPrEx>
        <w:tc>
          <w:tcPr>
            <w:tcW w:w="4360" w:type="dxa"/>
            <w:shd w:val="clear" w:color="auto" w:fill="F5F5F5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85DCC28" w14:textId="77777777" w:rsidR="00E52E39" w:rsidRDefault="00000000">
            <w:r>
              <w:rPr>
                <w:sz w:val="18"/>
                <w:szCs w:val="18"/>
              </w:rPr>
              <w:t>Operating Expenses (excl. tax)</w:t>
            </w:r>
          </w:p>
        </w:tc>
        <w:tc>
          <w:tcPr>
            <w:tcW w:w="2500" w:type="dxa"/>
            <w:shd w:val="clear" w:color="auto" w:fill="F5F5F5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16DEE9A" w14:textId="77777777" w:rsidR="00E52E39" w:rsidRDefault="00000000">
            <w:pPr>
              <w:jc w:val="center"/>
            </w:pPr>
            <w:r>
              <w:rPr>
                <w:sz w:val="18"/>
                <w:szCs w:val="18"/>
              </w:rPr>
              <w:t>($49,299)</w:t>
            </w:r>
          </w:p>
        </w:tc>
        <w:tc>
          <w:tcPr>
            <w:tcW w:w="2500" w:type="dxa"/>
            <w:shd w:val="clear" w:color="auto" w:fill="F5F5F5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1675C25" w14:textId="77777777" w:rsidR="00E52E39" w:rsidRDefault="00000000">
            <w:pPr>
              <w:jc w:val="center"/>
            </w:pPr>
            <w:r>
              <w:rPr>
                <w:sz w:val="18"/>
                <w:szCs w:val="18"/>
              </w:rPr>
              <w:t>($49,299)</w:t>
            </w:r>
          </w:p>
        </w:tc>
      </w:tr>
      <w:tr w:rsidR="00E52E39" w14:paraId="6A3A49A1" w14:textId="77777777">
        <w:tblPrEx>
          <w:tblCellMar>
            <w:top w:w="0" w:type="dxa"/>
            <w:bottom w:w="0" w:type="dxa"/>
          </w:tblCellMar>
        </w:tblPrEx>
        <w:tc>
          <w:tcPr>
            <w:tcW w:w="4360" w:type="dxa"/>
            <w:shd w:val="clear" w:color="auto" w:fill="D8F0EE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49619D8" w14:textId="77777777" w:rsidR="00E52E39" w:rsidRDefault="00000000">
            <w:r>
              <w:rPr>
                <w:b/>
                <w:bCs/>
                <w:sz w:val="18"/>
                <w:szCs w:val="18"/>
              </w:rPr>
              <w:t>Net Operating Income</w:t>
            </w:r>
          </w:p>
        </w:tc>
        <w:tc>
          <w:tcPr>
            <w:tcW w:w="2500" w:type="dxa"/>
            <w:shd w:val="clear" w:color="auto" w:fill="D8F0EE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D6A41D8" w14:textId="77777777" w:rsidR="00E52E39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$352,869</w:t>
            </w:r>
          </w:p>
        </w:tc>
        <w:tc>
          <w:tcPr>
            <w:tcW w:w="2500" w:type="dxa"/>
            <w:shd w:val="clear" w:color="auto" w:fill="D8F0EE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06CD52A" w14:textId="77777777" w:rsidR="00E52E39" w:rsidRDefault="00000000">
            <w:pPr>
              <w:jc w:val="center"/>
            </w:pPr>
            <w:r>
              <w:rPr>
                <w:b/>
                <w:bCs/>
                <w:color w:val="42A5A0"/>
                <w:sz w:val="18"/>
                <w:szCs w:val="18"/>
              </w:rPr>
              <w:t>$390,069</w:t>
            </w:r>
          </w:p>
        </w:tc>
      </w:tr>
      <w:tr w:rsidR="00E52E39" w14:paraId="10BE369A" w14:textId="77777777">
        <w:tblPrEx>
          <w:tblCellMar>
            <w:top w:w="0" w:type="dxa"/>
            <w:bottom w:w="0" w:type="dxa"/>
          </w:tblCellMar>
        </w:tblPrEx>
        <w:tc>
          <w:tcPr>
            <w:tcW w:w="4360" w:type="dxa"/>
            <w:shd w:val="clear" w:color="auto" w:fill="D8F0EE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927871F" w14:textId="77777777" w:rsidR="00E52E39" w:rsidRDefault="00000000">
            <w:r>
              <w:rPr>
                <w:b/>
                <w:bCs/>
                <w:sz w:val="18"/>
                <w:szCs w:val="18"/>
              </w:rPr>
              <w:t>Cap Rate</w:t>
            </w:r>
          </w:p>
        </w:tc>
        <w:tc>
          <w:tcPr>
            <w:tcW w:w="2500" w:type="dxa"/>
            <w:shd w:val="clear" w:color="auto" w:fill="D8F0EE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C778933" w14:textId="77777777" w:rsidR="00E52E39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5.4%</w:t>
            </w:r>
          </w:p>
        </w:tc>
        <w:tc>
          <w:tcPr>
            <w:tcW w:w="2500" w:type="dxa"/>
            <w:shd w:val="clear" w:color="auto" w:fill="D8F0EE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0D75AAB" w14:textId="77777777" w:rsidR="00E52E39" w:rsidRDefault="00000000">
            <w:pPr>
              <w:jc w:val="center"/>
            </w:pPr>
            <w:r>
              <w:rPr>
                <w:b/>
                <w:bCs/>
                <w:color w:val="42A5A0"/>
                <w:sz w:val="18"/>
                <w:szCs w:val="18"/>
              </w:rPr>
              <w:t>6.0%</w:t>
            </w:r>
          </w:p>
        </w:tc>
      </w:tr>
      <w:tr w:rsidR="00E52E39" w14:paraId="0989F323" w14:textId="77777777">
        <w:tblPrEx>
          <w:tblCellMar>
            <w:top w:w="0" w:type="dxa"/>
            <w:bottom w:w="0" w:type="dxa"/>
          </w:tblCellMar>
        </w:tblPrEx>
        <w:tc>
          <w:tcPr>
            <w:tcW w:w="4360" w:type="dxa"/>
            <w:shd w:val="clear" w:color="auto" w:fill="D8F0EE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C417BBF" w14:textId="77777777" w:rsidR="00E52E39" w:rsidRDefault="00000000">
            <w:r>
              <w:rPr>
                <w:b/>
                <w:bCs/>
                <w:sz w:val="18"/>
                <w:szCs w:val="18"/>
              </w:rPr>
              <w:t>Gross Rent Multiplier</w:t>
            </w:r>
          </w:p>
        </w:tc>
        <w:tc>
          <w:tcPr>
            <w:tcW w:w="2500" w:type="dxa"/>
            <w:shd w:val="clear" w:color="auto" w:fill="D8F0EE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7354B5E" w14:textId="77777777" w:rsidR="00E52E39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16.2</w:t>
            </w:r>
          </w:p>
        </w:tc>
        <w:tc>
          <w:tcPr>
            <w:tcW w:w="2500" w:type="dxa"/>
            <w:shd w:val="clear" w:color="auto" w:fill="D8F0EE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2992E17" w14:textId="77777777" w:rsidR="00E52E39" w:rsidRDefault="00000000">
            <w:pPr>
              <w:jc w:val="center"/>
            </w:pPr>
            <w:r>
              <w:rPr>
                <w:b/>
                <w:bCs/>
                <w:color w:val="42A5A0"/>
                <w:sz w:val="18"/>
                <w:szCs w:val="18"/>
              </w:rPr>
              <w:t>14.8</w:t>
            </w:r>
          </w:p>
        </w:tc>
      </w:tr>
    </w:tbl>
    <w:p w14:paraId="0C4143D5" w14:textId="77777777" w:rsidR="00E52E39" w:rsidRDefault="00000000">
      <w:pPr>
        <w:spacing w:before="60" w:after="120" w:line="264" w:lineRule="auto"/>
      </w:pPr>
      <w:r>
        <w:rPr>
          <w:i/>
          <w:iCs/>
          <w:color w:val="6B6B6B"/>
          <w:sz w:val="14"/>
          <w:szCs w:val="14"/>
        </w:rPr>
        <w:t>At a normalized 25% expense ratio, NOI ≈ $329,526 (≈5.1% cap). All figures exclude the California property-tax reassessment (~1.18% of price) that occurs on sale.</w:t>
      </w:r>
    </w:p>
    <w:p w14:paraId="3ED40C1C" w14:textId="77777777" w:rsidR="00E52E39" w:rsidRDefault="00000000">
      <w:pPr>
        <w:pBdr>
          <w:bottom w:val="single" w:sz="8" w:space="3" w:color="42A5A0"/>
        </w:pBdr>
        <w:spacing w:before="140" w:after="55"/>
      </w:pPr>
      <w:r>
        <w:rPr>
          <w:b/>
          <w:bCs/>
          <w:color w:val="42A5A0"/>
          <w:sz w:val="24"/>
          <w:szCs w:val="24"/>
        </w:rPr>
        <w:t>Location</w:t>
      </w:r>
    </w:p>
    <w:p w14:paraId="67E15DD2" w14:textId="77777777" w:rsidR="00E52E39" w:rsidRDefault="00000000">
      <w:pPr>
        <w:spacing w:after="120" w:line="264" w:lineRule="auto"/>
      </w:pPr>
      <w:r>
        <w:rPr>
          <w:sz w:val="19"/>
          <w:szCs w:val="19"/>
        </w:rPr>
        <w:t>1686 Hayes Street sits on the Hayes Street corridor in San Francisco’s North-of-Panhandle (NoPa) and Alamo Square district — among the city’s most desirable, walkable, and transit-rich neighborhoods. Ground-floor retail activates the corner while spacious one- and two-bedroom residences above open to a landscaped interior courtyard. Supply of quality buildings here is effectively fixed, producing durable pricing and low vacancy.</w:t>
      </w:r>
    </w:p>
    <w:p w14:paraId="4BD91E59" w14:textId="77777777" w:rsidR="00E52E39" w:rsidRDefault="00000000">
      <w:pPr>
        <w:pBdr>
          <w:bottom w:val="single" w:sz="8" w:space="3" w:color="42A5A0"/>
        </w:pBdr>
        <w:spacing w:before="140" w:after="55"/>
      </w:pPr>
      <w:r>
        <w:rPr>
          <w:b/>
          <w:bCs/>
          <w:color w:val="42A5A0"/>
          <w:sz w:val="24"/>
          <w:szCs w:val="24"/>
        </w:rPr>
        <w:t>Contact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E52E39" w14:paraId="0152843C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Mar>
              <w:top w:w="20" w:type="dxa"/>
              <w:left w:w="20" w:type="dxa"/>
              <w:bottom w:w="20" w:type="dxa"/>
              <w:right w:w="120" w:type="dxa"/>
            </w:tcMar>
          </w:tcPr>
          <w:p w14:paraId="636E2D19" w14:textId="77777777" w:rsidR="00E52E39" w:rsidRDefault="00000000">
            <w:pPr>
              <w:spacing w:after="6"/>
            </w:pPr>
            <w:r>
              <w:rPr>
                <w:b/>
                <w:bCs/>
                <w:sz w:val="21"/>
                <w:szCs w:val="21"/>
              </w:rPr>
              <w:t>Kay Stenn</w:t>
            </w:r>
          </w:p>
          <w:p w14:paraId="14C50016" w14:textId="77777777" w:rsidR="00E52E39" w:rsidRDefault="00000000">
            <w:pPr>
              <w:spacing w:after="5"/>
            </w:pPr>
            <w:r>
              <w:rPr>
                <w:sz w:val="16"/>
                <w:szCs w:val="16"/>
              </w:rPr>
              <w:t xml:space="preserve">Broker </w:t>
            </w:r>
            <w:proofErr w:type="gramStart"/>
            <w:r>
              <w:rPr>
                <w:sz w:val="16"/>
                <w:szCs w:val="16"/>
              </w:rPr>
              <w:t>Associate  ·</w:t>
            </w:r>
            <w:proofErr w:type="gramEnd"/>
            <w:r>
              <w:rPr>
                <w:sz w:val="16"/>
                <w:szCs w:val="16"/>
              </w:rPr>
              <w:t xml:space="preserve">  Coldwell Banker Real Estate</w:t>
            </w:r>
          </w:p>
          <w:p w14:paraId="64A103F6" w14:textId="77777777" w:rsidR="00E52E39" w:rsidRDefault="00000000">
            <w:pPr>
              <w:spacing w:after="2"/>
            </w:pPr>
            <w:r>
              <w:rPr>
                <w:color w:val="6B6B6B"/>
                <w:sz w:val="14"/>
                <w:szCs w:val="14"/>
              </w:rPr>
              <w:t>DRE #01985404</w:t>
            </w:r>
          </w:p>
          <w:p w14:paraId="1021E882" w14:textId="77777777" w:rsidR="00E52E39" w:rsidRDefault="00000000">
            <w:pPr>
              <w:spacing w:after="2"/>
            </w:pPr>
            <w:r>
              <w:rPr>
                <w:color w:val="6B6B6B"/>
                <w:sz w:val="14"/>
                <w:szCs w:val="14"/>
              </w:rPr>
              <w:t>(650) 224-</w:t>
            </w:r>
            <w:proofErr w:type="gramStart"/>
            <w:r>
              <w:rPr>
                <w:color w:val="6B6B6B"/>
                <w:sz w:val="14"/>
                <w:szCs w:val="14"/>
              </w:rPr>
              <w:t>2222  ·</w:t>
            </w:r>
            <w:proofErr w:type="gramEnd"/>
            <w:r>
              <w:rPr>
                <w:color w:val="6B6B6B"/>
                <w:sz w:val="14"/>
                <w:szCs w:val="14"/>
              </w:rPr>
              <w:t xml:space="preserve">  kay.stenn@cbnorcal.com</w:t>
            </w:r>
          </w:p>
        </w:tc>
        <w:tc>
          <w:tcPr>
            <w:tcW w:w="4680" w:type="dxa"/>
            <w:tcMar>
              <w:top w:w="20" w:type="dxa"/>
              <w:left w:w="20" w:type="dxa"/>
              <w:bottom w:w="20" w:type="dxa"/>
              <w:right w:w="120" w:type="dxa"/>
            </w:tcMar>
          </w:tcPr>
          <w:p w14:paraId="7FE18B87" w14:textId="77777777" w:rsidR="00E52E39" w:rsidRDefault="00000000">
            <w:pPr>
              <w:spacing w:after="6"/>
            </w:pPr>
            <w:r>
              <w:rPr>
                <w:b/>
                <w:bCs/>
                <w:sz w:val="21"/>
                <w:szCs w:val="21"/>
              </w:rPr>
              <w:t>Michael Smith</w:t>
            </w:r>
          </w:p>
          <w:p w14:paraId="0AB2C51D" w14:textId="77777777" w:rsidR="00E52E39" w:rsidRDefault="00000000">
            <w:pPr>
              <w:spacing w:after="5"/>
            </w:pPr>
            <w:r>
              <w:rPr>
                <w:sz w:val="16"/>
                <w:szCs w:val="16"/>
              </w:rPr>
              <w:t xml:space="preserve">Senior </w:t>
            </w:r>
            <w:proofErr w:type="gramStart"/>
            <w:r>
              <w:rPr>
                <w:sz w:val="16"/>
                <w:szCs w:val="16"/>
              </w:rPr>
              <w:t>Partner  ·</w:t>
            </w:r>
            <w:proofErr w:type="gramEnd"/>
            <w:r>
              <w:rPr>
                <w:sz w:val="16"/>
                <w:szCs w:val="16"/>
              </w:rPr>
              <w:t xml:space="preserve">  ROAM Commercial Realty</w:t>
            </w:r>
          </w:p>
          <w:p w14:paraId="0740A1CF" w14:textId="77777777" w:rsidR="00E52E39" w:rsidRDefault="00000000">
            <w:pPr>
              <w:spacing w:after="2"/>
            </w:pPr>
            <w:proofErr w:type="spellStart"/>
            <w:r>
              <w:rPr>
                <w:color w:val="6B6B6B"/>
                <w:sz w:val="14"/>
                <w:szCs w:val="14"/>
              </w:rPr>
              <w:t>CalBRE</w:t>
            </w:r>
            <w:proofErr w:type="spellEnd"/>
            <w:r>
              <w:rPr>
                <w:color w:val="6B6B6B"/>
                <w:sz w:val="14"/>
                <w:szCs w:val="14"/>
              </w:rPr>
              <w:t xml:space="preserve"> #01725649</w:t>
            </w:r>
          </w:p>
          <w:p w14:paraId="558C457C" w14:textId="77777777" w:rsidR="00E52E39" w:rsidRDefault="00000000">
            <w:pPr>
              <w:spacing w:after="2"/>
            </w:pPr>
            <w:r>
              <w:rPr>
                <w:color w:val="6B6B6B"/>
                <w:sz w:val="14"/>
                <w:szCs w:val="14"/>
              </w:rPr>
              <w:t>(925) 250-</w:t>
            </w:r>
            <w:proofErr w:type="gramStart"/>
            <w:r>
              <w:rPr>
                <w:color w:val="6B6B6B"/>
                <w:sz w:val="14"/>
                <w:szCs w:val="14"/>
              </w:rPr>
              <w:t>3208  ·</w:t>
            </w:r>
            <w:proofErr w:type="gramEnd"/>
            <w:r>
              <w:rPr>
                <w:color w:val="6B6B6B"/>
                <w:sz w:val="14"/>
                <w:szCs w:val="14"/>
              </w:rPr>
              <w:t xml:space="preserve">  mike@roamcommercialrealty.com</w:t>
            </w:r>
          </w:p>
        </w:tc>
      </w:tr>
    </w:tbl>
    <w:p w14:paraId="55A7B1A3" w14:textId="77777777" w:rsidR="00E52E39" w:rsidRDefault="00000000">
      <w:pPr>
        <w:spacing w:before="80" w:after="120" w:line="264" w:lineRule="auto"/>
      </w:pPr>
      <w:r>
        <w:rPr>
          <w:i/>
          <w:iCs/>
          <w:color w:val="6B6B6B"/>
          <w:sz w:val="14"/>
          <w:szCs w:val="14"/>
        </w:rPr>
        <w:t>Confidential — for qualified investors only. Information from sources deemed reliable but not guaranteed; buyers to verify. Not an appraisal.</w:t>
      </w:r>
    </w:p>
    <w:sectPr w:rsidR="00E52E39">
      <w:headerReference w:type="default" r:id="rId12"/>
      <w:footerReference w:type="default" r:id="rId13"/>
      <w:pgSz w:w="12240" w:h="15840"/>
      <w:pgMar w:top="1140" w:right="1440" w:bottom="11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A3160F9" w14:textId="77777777" w:rsidR="00F043CD" w:rsidRDefault="00F043CD">
      <w:r>
        <w:separator/>
      </w:r>
    </w:p>
  </w:endnote>
  <w:endnote w:type="continuationSeparator" w:id="0">
    <w:p w14:paraId="4193E9E8" w14:textId="77777777" w:rsidR="00F043CD" w:rsidRDefault="00F04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114D44F" w14:textId="77777777" w:rsidR="00E52E39" w:rsidRDefault="00000000">
    <w:pPr>
      <w:pBdr>
        <w:top w:val="single" w:sz="6" w:space="4" w:color="42A5A0"/>
      </w:pBdr>
      <w:tabs>
        <w:tab w:val="right" w:pos="9360"/>
      </w:tabs>
    </w:pPr>
    <w:proofErr w:type="gramStart"/>
    <w:r>
      <w:rPr>
        <w:color w:val="6B6B6B"/>
        <w:sz w:val="13"/>
        <w:szCs w:val="13"/>
      </w:rPr>
      <w:t>CONFIDENTIAL  •</w:t>
    </w:r>
    <w:proofErr w:type="gramEnd"/>
    <w:r>
      <w:rPr>
        <w:color w:val="6B6B6B"/>
        <w:sz w:val="13"/>
        <w:szCs w:val="13"/>
      </w:rPr>
      <w:t xml:space="preserve">  KAY STENN, COLDWELL </w:t>
    </w:r>
    <w:proofErr w:type="gramStart"/>
    <w:r>
      <w:rPr>
        <w:color w:val="6B6B6B"/>
        <w:sz w:val="13"/>
        <w:szCs w:val="13"/>
      </w:rPr>
      <w:t>BANKER  ·</w:t>
    </w:r>
    <w:proofErr w:type="gramEnd"/>
    <w:r>
      <w:rPr>
        <w:color w:val="6B6B6B"/>
        <w:sz w:val="13"/>
        <w:szCs w:val="13"/>
      </w:rPr>
      <w:t xml:space="preserve">  ROAM COMMERCIAL REALTY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37F6966" w14:textId="77777777" w:rsidR="00F043CD" w:rsidRDefault="00F043CD">
      <w:r>
        <w:separator/>
      </w:r>
    </w:p>
  </w:footnote>
  <w:footnote w:type="continuationSeparator" w:id="0">
    <w:p w14:paraId="19385FE6" w14:textId="77777777" w:rsidR="00F043CD" w:rsidRDefault="00F043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ACBC206" w14:textId="77777777" w:rsidR="00E52E39" w:rsidRDefault="00000000">
    <w:pPr>
      <w:pBdr>
        <w:bottom w:val="single" w:sz="6" w:space="4" w:color="42A5A0"/>
      </w:pBdr>
      <w:tabs>
        <w:tab w:val="right" w:pos="9360"/>
      </w:tabs>
    </w:pPr>
    <w:r>
      <w:rPr>
        <w:noProof/>
      </w:rPr>
      <w:drawing>
        <wp:inline distT="0" distB="0" distL="0" distR="0" wp14:anchorId="287A5107" wp14:editId="77834225">
          <wp:extent cx="1238250" cy="190500"/>
          <wp:effectExtent l="0" t="0" r="0" b="0"/>
          <wp:docPr id="189414868" name="Picture 1894148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190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6B6B6B"/>
        <w:sz w:val="15"/>
        <w:szCs w:val="15"/>
      </w:rPr>
      <w:tab/>
      <w:t xml:space="preserve">1686 Hayes </w:t>
    </w:r>
    <w:proofErr w:type="gramStart"/>
    <w:r>
      <w:rPr>
        <w:color w:val="6B6B6B"/>
        <w:sz w:val="15"/>
        <w:szCs w:val="15"/>
      </w:rPr>
      <w:t>Street  •</w:t>
    </w:r>
    <w:proofErr w:type="gramEnd"/>
    <w:r>
      <w:rPr>
        <w:color w:val="6B6B6B"/>
        <w:sz w:val="15"/>
        <w:szCs w:val="15"/>
      </w:rPr>
      <w:t xml:space="preserve">  San Francisco, CA 94117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56E0747"/>
    <w:multiLevelType w:val="hybridMultilevel"/>
    <w:tmpl w:val="DCC8A4DA"/>
    <w:lvl w:ilvl="0" w:tplc="EF96E6D4">
      <w:start w:val="1"/>
      <w:numFmt w:val="bullet"/>
      <w:lvlText w:val="●"/>
      <w:lvlJc w:val="left"/>
      <w:pPr>
        <w:ind w:left="720" w:hanging="360"/>
      </w:pPr>
    </w:lvl>
    <w:lvl w:ilvl="1" w:tplc="05D86C70">
      <w:start w:val="1"/>
      <w:numFmt w:val="bullet"/>
      <w:lvlText w:val="○"/>
      <w:lvlJc w:val="left"/>
      <w:pPr>
        <w:ind w:left="1440" w:hanging="360"/>
      </w:pPr>
    </w:lvl>
    <w:lvl w:ilvl="2" w:tplc="8328320C">
      <w:start w:val="1"/>
      <w:numFmt w:val="bullet"/>
      <w:lvlText w:val="■"/>
      <w:lvlJc w:val="left"/>
      <w:pPr>
        <w:ind w:left="2160" w:hanging="360"/>
      </w:pPr>
    </w:lvl>
    <w:lvl w:ilvl="3" w:tplc="5CBAE7A8">
      <w:start w:val="1"/>
      <w:numFmt w:val="bullet"/>
      <w:lvlText w:val="●"/>
      <w:lvlJc w:val="left"/>
      <w:pPr>
        <w:ind w:left="2880" w:hanging="360"/>
      </w:pPr>
    </w:lvl>
    <w:lvl w:ilvl="4" w:tplc="A404BCC4">
      <w:start w:val="1"/>
      <w:numFmt w:val="bullet"/>
      <w:lvlText w:val="○"/>
      <w:lvlJc w:val="left"/>
      <w:pPr>
        <w:ind w:left="3600" w:hanging="360"/>
      </w:pPr>
    </w:lvl>
    <w:lvl w:ilvl="5" w:tplc="53962FEE">
      <w:start w:val="1"/>
      <w:numFmt w:val="bullet"/>
      <w:lvlText w:val="■"/>
      <w:lvlJc w:val="left"/>
      <w:pPr>
        <w:ind w:left="4320" w:hanging="360"/>
      </w:pPr>
    </w:lvl>
    <w:lvl w:ilvl="6" w:tplc="24C043CE">
      <w:start w:val="1"/>
      <w:numFmt w:val="bullet"/>
      <w:lvlText w:val="●"/>
      <w:lvlJc w:val="left"/>
      <w:pPr>
        <w:ind w:left="5040" w:hanging="360"/>
      </w:pPr>
    </w:lvl>
    <w:lvl w:ilvl="7" w:tplc="C8307C60">
      <w:start w:val="1"/>
      <w:numFmt w:val="bullet"/>
      <w:lvlText w:val="●"/>
      <w:lvlJc w:val="left"/>
      <w:pPr>
        <w:ind w:left="5760" w:hanging="360"/>
      </w:pPr>
    </w:lvl>
    <w:lvl w:ilvl="8" w:tplc="F0ACA4F8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38100E1E"/>
    <w:multiLevelType w:val="hybridMultilevel"/>
    <w:tmpl w:val="AC7818CE"/>
    <w:lvl w:ilvl="0" w:tplc="E7A66A36">
      <w:start w:val="1"/>
      <w:numFmt w:val="bullet"/>
      <w:lvlText w:val="•"/>
      <w:lvlJc w:val="left"/>
      <w:pPr>
        <w:ind w:left="420" w:hanging="230"/>
      </w:pPr>
      <w:rPr>
        <w:color w:val="42A5A0"/>
      </w:rPr>
    </w:lvl>
    <w:lvl w:ilvl="1" w:tplc="F2680AB4">
      <w:numFmt w:val="decimal"/>
      <w:lvlText w:val=""/>
      <w:lvlJc w:val="left"/>
    </w:lvl>
    <w:lvl w:ilvl="2" w:tplc="E7649940">
      <w:numFmt w:val="decimal"/>
      <w:lvlText w:val=""/>
      <w:lvlJc w:val="left"/>
    </w:lvl>
    <w:lvl w:ilvl="3" w:tplc="91584378">
      <w:numFmt w:val="decimal"/>
      <w:lvlText w:val=""/>
      <w:lvlJc w:val="left"/>
    </w:lvl>
    <w:lvl w:ilvl="4" w:tplc="E1DAF9AC">
      <w:numFmt w:val="decimal"/>
      <w:lvlText w:val=""/>
      <w:lvlJc w:val="left"/>
    </w:lvl>
    <w:lvl w:ilvl="5" w:tplc="F7BC7BAA">
      <w:numFmt w:val="decimal"/>
      <w:lvlText w:val=""/>
      <w:lvlJc w:val="left"/>
    </w:lvl>
    <w:lvl w:ilvl="6" w:tplc="CC52254E">
      <w:numFmt w:val="decimal"/>
      <w:lvlText w:val=""/>
      <w:lvlJc w:val="left"/>
    </w:lvl>
    <w:lvl w:ilvl="7" w:tplc="85904EB4">
      <w:numFmt w:val="decimal"/>
      <w:lvlText w:val=""/>
      <w:lvlJc w:val="left"/>
    </w:lvl>
    <w:lvl w:ilvl="8" w:tplc="CD0A8C40">
      <w:numFmt w:val="decimal"/>
      <w:lvlText w:val=""/>
      <w:lvlJc w:val="left"/>
    </w:lvl>
  </w:abstractNum>
  <w:num w:numId="1" w16cid:durableId="1440635578">
    <w:abstractNumId w:val="0"/>
    <w:lvlOverride w:ilvl="0">
      <w:startOverride w:val="1"/>
    </w:lvlOverride>
  </w:num>
  <w:num w:numId="2" w16cid:durableId="46982940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2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39"/>
    <w:rsid w:val="00B45DA1"/>
    <w:rsid w:val="00D561A9"/>
    <w:rsid w:val="00E52E39"/>
    <w:rsid w:val="00F04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5B3BF8"/>
  <w15:docId w15:val="{000DB468-9331-E345-97C3-1610F8879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color w:val="2B282D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352</Words>
  <Characters>2011</Characters>
  <Application>Microsoft Office Word</Application>
  <DocSecurity>0</DocSecurity>
  <Lines>16</Lines>
  <Paragraphs>4</Paragraphs>
  <ScaleCrop>false</ScaleCrop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Property Brochure — 1686 Hayes Street</dc:title>
  <dc:creator>ROAM Commercial Realty / Coldwell Banker</dc:creator>
  <cp:lastModifiedBy>Michael Smith</cp:lastModifiedBy>
  <cp:revision>2</cp:revision>
  <dcterms:created xsi:type="dcterms:W3CDTF">2026-08-07T14:06:00Z</dcterms:created>
  <dcterms:modified xsi:type="dcterms:W3CDTF">2026-08-07T14:06:00Z</dcterms:modified>
</cp:coreProperties>
</file>