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F6A35" w14:textId="77777777" w:rsidR="00B15358" w:rsidRPr="00B15358" w:rsidRDefault="00B15358" w:rsidP="00B15358">
      <w:pPr>
        <w:numPr>
          <w:ilvl w:val="0"/>
          <w:numId w:val="1"/>
        </w:numPr>
        <w:shd w:val="clear" w:color="auto" w:fill="FFFFFF"/>
        <w:spacing w:before="100" w:beforeAutospacing="1" w:after="100" w:afterAutospacing="1" w:line="240" w:lineRule="auto"/>
        <w:rPr>
          <w:rFonts w:ascii="Open Sans" w:eastAsia="Times New Roman" w:hAnsi="Open Sans" w:cs="Open Sans"/>
          <w:color w:val="313335"/>
          <w:sz w:val="21"/>
          <w:szCs w:val="21"/>
        </w:rPr>
      </w:pPr>
    </w:p>
    <w:p w14:paraId="4FAA381D" w14:textId="77777777" w:rsidR="00B15358" w:rsidRPr="00B15358" w:rsidRDefault="00B15358" w:rsidP="00B15358">
      <w:pPr>
        <w:numPr>
          <w:ilvl w:val="0"/>
          <w:numId w:val="1"/>
        </w:numPr>
        <w:shd w:val="clear" w:color="auto" w:fill="FFFFFF"/>
        <w:spacing w:before="100" w:beforeAutospacing="1" w:after="100" w:afterAutospacing="1" w:line="420" w:lineRule="atLeast"/>
        <w:textAlignment w:val="center"/>
        <w:rPr>
          <w:rFonts w:ascii="Open Sans" w:eastAsia="Times New Roman" w:hAnsi="Open Sans" w:cs="Open Sans"/>
          <w:b/>
          <w:bCs/>
          <w:color w:val="313335"/>
          <w:sz w:val="27"/>
          <w:szCs w:val="27"/>
        </w:rPr>
      </w:pPr>
      <w:r w:rsidRPr="00B15358">
        <w:rPr>
          <w:rFonts w:ascii="Open Sans" w:eastAsia="Times New Roman" w:hAnsi="Open Sans" w:cs="Open Sans"/>
          <w:b/>
          <w:bCs/>
          <w:color w:val="313335"/>
          <w:sz w:val="27"/>
          <w:szCs w:val="27"/>
        </w:rPr>
        <w:t>161.27 - Main Street/Center</w:t>
      </w:r>
    </w:p>
    <w:p w14:paraId="5037879A" w14:textId="77777777" w:rsidR="00B15358" w:rsidRPr="00B15358" w:rsidRDefault="00B15358" w:rsidP="00B15358">
      <w:pPr>
        <w:shd w:val="clear" w:color="auto" w:fill="FFFFFF"/>
        <w:spacing w:beforeAutospacing="1" w:after="0" w:afterAutospacing="1" w:line="240" w:lineRule="auto"/>
        <w:ind w:left="720"/>
        <w:textAlignment w:val="center"/>
        <w:rPr>
          <w:rFonts w:ascii="Open Sans" w:eastAsia="Times New Roman" w:hAnsi="Open Sans" w:cs="Open Sans"/>
          <w:b/>
          <w:bCs/>
          <w:color w:val="096FCC"/>
          <w:sz w:val="21"/>
          <w:szCs w:val="21"/>
        </w:rPr>
      </w:pPr>
      <w:hyperlink r:id="rId5" w:history="1">
        <w:r w:rsidRPr="00B15358">
          <w:rPr>
            <w:rFonts w:ascii="Open Sans" w:eastAsia="Times New Roman" w:hAnsi="Open Sans" w:cs="Open Sans"/>
            <w:b/>
            <w:bCs/>
            <w:caps/>
            <w:color w:val="096FCC"/>
            <w:sz w:val="21"/>
            <w:szCs w:val="21"/>
            <w:u w:val="single"/>
            <w:bdr w:val="none" w:sz="0" w:space="0" w:color="auto" w:frame="1"/>
          </w:rPr>
          <w:t>SHARE LINK TO SECTION</w:t>
        </w:r>
      </w:hyperlink>
      <w:hyperlink r:id="rId6" w:history="1">
        <w:r w:rsidRPr="00B15358">
          <w:rPr>
            <w:rFonts w:ascii="Open Sans" w:eastAsia="Times New Roman" w:hAnsi="Open Sans" w:cs="Open Sans"/>
            <w:b/>
            <w:bCs/>
            <w:caps/>
            <w:color w:val="096FCC"/>
            <w:sz w:val="21"/>
            <w:szCs w:val="21"/>
            <w:u w:val="single"/>
            <w:bdr w:val="none" w:sz="0" w:space="0" w:color="auto" w:frame="1"/>
          </w:rPr>
          <w:t>PRINT SECTION</w:t>
        </w:r>
      </w:hyperlink>
      <w:hyperlink r:id="rId7" w:history="1">
        <w:r w:rsidRPr="00B15358">
          <w:rPr>
            <w:rFonts w:ascii="Open Sans" w:eastAsia="Times New Roman" w:hAnsi="Open Sans" w:cs="Open Sans"/>
            <w:b/>
            <w:bCs/>
            <w:caps/>
            <w:color w:val="096FCC"/>
            <w:sz w:val="21"/>
            <w:szCs w:val="21"/>
            <w:u w:val="single"/>
            <w:bdr w:val="none" w:sz="0" w:space="0" w:color="auto" w:frame="1"/>
          </w:rPr>
          <w:t>DOWNLOAD (DOCX) OF SECTIONS</w:t>
        </w:r>
      </w:hyperlink>
      <w:hyperlink r:id="rId8" w:history="1">
        <w:r w:rsidRPr="00B15358">
          <w:rPr>
            <w:rFonts w:ascii="Open Sans" w:eastAsia="Times New Roman" w:hAnsi="Open Sans" w:cs="Open Sans"/>
            <w:b/>
            <w:bCs/>
            <w:caps/>
            <w:color w:val="096FCC"/>
            <w:sz w:val="21"/>
            <w:szCs w:val="21"/>
            <w:u w:val="single"/>
            <w:bdr w:val="none" w:sz="0" w:space="0" w:color="auto" w:frame="1"/>
          </w:rPr>
          <w:t>EMAIL SECTION</w:t>
        </w:r>
      </w:hyperlink>
      <w:hyperlink r:id="rId9" w:history="1">
        <w:r w:rsidRPr="00B15358">
          <w:rPr>
            <w:rFonts w:ascii="Open Sans" w:eastAsia="Times New Roman" w:hAnsi="Open Sans" w:cs="Open Sans"/>
            <w:b/>
            <w:bCs/>
            <w:caps/>
            <w:color w:val="096FCC"/>
            <w:sz w:val="21"/>
            <w:szCs w:val="21"/>
            <w:u w:val="single"/>
            <w:bdr w:val="none" w:sz="0" w:space="0" w:color="auto" w:frame="1"/>
          </w:rPr>
          <w:t>COMPARE VERSIONS</w:t>
        </w:r>
      </w:hyperlink>
    </w:p>
    <w:p w14:paraId="7D59FB54" w14:textId="77777777" w:rsidR="00B15358" w:rsidRPr="00B15358" w:rsidRDefault="00B15358" w:rsidP="00B15358">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(A)</w:t>
      </w:r>
    </w:p>
    <w:p w14:paraId="000BC44C" w14:textId="77777777"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i/>
          <w:iCs/>
          <w:color w:val="313335"/>
          <w:spacing w:val="2"/>
          <w:sz w:val="21"/>
          <w:szCs w:val="21"/>
        </w:rPr>
        <w:t>Purpose.</w:t>
      </w:r>
      <w:r w:rsidRPr="00B15358">
        <w:rPr>
          <w:rFonts w:ascii="Open Sans" w:eastAsia="Times New Roman" w:hAnsi="Open Sans" w:cs="Open Sans"/>
          <w:color w:val="313335"/>
          <w:spacing w:val="2"/>
          <w:sz w:val="21"/>
          <w:szCs w:val="21"/>
        </w:rPr>
        <w:t> A greater range of uses is expected and encouraged in the Main Street/Center. The Center is more spatially compact and is more likely to have some attached buildings than Downtown General or Neighborhood Conservation. Multi-story buildings in the Center are well-suited to accommodate a mix of uses, such as apartments or offices above shops. Lofts, live/work units, and buildings designed for changing uses over time are appropriate for the Main Street/Center. The Center is within walking distance of the surrounding, primarily residential areas. For the purposes of Chapter 96: Noise Control, the Main Street/Center district is a commercial zone.</w:t>
      </w:r>
    </w:p>
    <w:p w14:paraId="5E7657F9" w14:textId="77777777" w:rsidR="00B15358" w:rsidRPr="00B15358" w:rsidRDefault="00B15358" w:rsidP="00B15358">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(B)</w:t>
      </w:r>
    </w:p>
    <w:p w14:paraId="7D19C66B" w14:textId="77777777"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i/>
          <w:iCs/>
          <w:color w:val="313335"/>
          <w:spacing w:val="2"/>
          <w:sz w:val="21"/>
          <w:szCs w:val="21"/>
        </w:rPr>
        <w:t>Uses.</w:t>
      </w:r>
    </w:p>
    <w:p w14:paraId="60DDF1FA" w14:textId="77777777" w:rsidR="00B15358" w:rsidRPr="00B15358" w:rsidRDefault="00B15358" w:rsidP="00B15358">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(1)</w:t>
      </w:r>
    </w:p>
    <w:p w14:paraId="3D98EE72" w14:textId="77777777"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i/>
          <w:iCs/>
          <w:color w:val="313335"/>
          <w:spacing w:val="2"/>
          <w:sz w:val="21"/>
          <w:szCs w:val="21"/>
        </w:rPr>
        <w:t>Permitted uses.</w:t>
      </w:r>
    </w:p>
    <w:p w14:paraId="2F005119" w14:textId="77777777" w:rsidR="00B15358" w:rsidRPr="00B15358" w:rsidRDefault="00B15358" w:rsidP="00B15358">
      <w:pPr>
        <w:shd w:val="clear" w:color="auto" w:fill="FFFFFF"/>
        <w:spacing w:beforeAutospacing="1" w:after="0" w:afterAutospacing="1" w:line="240" w:lineRule="auto"/>
        <w:ind w:left="720"/>
        <w:rPr>
          <w:rFonts w:ascii="Open Sans" w:eastAsia="Times New Roman" w:hAnsi="Open Sans" w:cs="Open Sans"/>
          <w:color w:val="313335"/>
          <w:sz w:val="21"/>
          <w:szCs w:val="21"/>
        </w:rPr>
      </w:pPr>
      <w:r w:rsidRPr="00B15358">
        <w:rPr>
          <w:rFonts w:ascii="Open Sans" w:eastAsia="Times New Roman" w:hAnsi="Open Sans" w:cs="Open Sans"/>
          <w:color w:val="313335"/>
          <w:sz w:val="21"/>
          <w:szCs w:val="21"/>
        </w:rPr>
        <w:t> EXPAND</w:t>
      </w:r>
    </w:p>
    <w:tbl>
      <w:tblPr>
        <w:tblW w:w="8930" w:type="dxa"/>
        <w:tblInd w:w="72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1729"/>
        <w:gridCol w:w="7201"/>
      </w:tblGrid>
      <w:tr w:rsidR="00B15358" w:rsidRPr="00B15358" w14:paraId="19ACB754"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3A340313"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Unit 1</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7866C551"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City-wide uses by right</w:t>
            </w:r>
          </w:p>
        </w:tc>
      </w:tr>
      <w:tr w:rsidR="00B15358" w:rsidRPr="00B15358" w14:paraId="155F3BF0"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1201D195"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Unit 4</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6AD20037"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Cultural and recreational facilities</w:t>
            </w:r>
          </w:p>
        </w:tc>
      </w:tr>
      <w:tr w:rsidR="00B15358" w:rsidRPr="00B15358" w14:paraId="29B02E54"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018B26B4"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Unit 5</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525889ED"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Government facilities</w:t>
            </w:r>
          </w:p>
        </w:tc>
      </w:tr>
      <w:tr w:rsidR="00B15358" w:rsidRPr="00B15358" w14:paraId="2B1E5262"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66EE1AAA"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Unit 8</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5781D6E7"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Single-family dwellings</w:t>
            </w:r>
          </w:p>
        </w:tc>
      </w:tr>
      <w:tr w:rsidR="00B15358" w:rsidRPr="00B15358" w14:paraId="1A8985D9"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454B33BF"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Unit 9</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710CFE6D"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Two-family dwellings</w:t>
            </w:r>
          </w:p>
        </w:tc>
      </w:tr>
      <w:tr w:rsidR="00B15358" w:rsidRPr="00B15358" w14:paraId="78C176F9"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28E09F30"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Unit 10</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4C47C79C"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Three (3) and four (4) family dwellings</w:t>
            </w:r>
          </w:p>
        </w:tc>
      </w:tr>
      <w:tr w:rsidR="00B15358" w:rsidRPr="00B15358" w14:paraId="116767D3"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30FE1D5A"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Unit 13</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1FB8D8F1"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Eating places</w:t>
            </w:r>
          </w:p>
        </w:tc>
      </w:tr>
      <w:tr w:rsidR="00B15358" w:rsidRPr="00B15358" w14:paraId="2E88E413"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4706CE10"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Unit 14</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6B1C0F6E"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Hotel, motel, and amusement facilities</w:t>
            </w:r>
          </w:p>
        </w:tc>
      </w:tr>
      <w:tr w:rsidR="00B15358" w:rsidRPr="00B15358" w14:paraId="5778C34D"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54A28325"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lastRenderedPageBreak/>
              <w:t>Unit 16</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798DFEE6"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Shopping goods</w:t>
            </w:r>
          </w:p>
        </w:tc>
      </w:tr>
      <w:tr w:rsidR="00B15358" w:rsidRPr="00B15358" w14:paraId="41041949"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4EE943A7"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Unit 17</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65D53FF9"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Transportation trades and services</w:t>
            </w:r>
          </w:p>
        </w:tc>
      </w:tr>
      <w:tr w:rsidR="00B15358" w:rsidRPr="00B15358" w14:paraId="5AFAFE87"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554AD997"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Unit 19</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338A480E"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Commercial recreation, small sites</w:t>
            </w:r>
          </w:p>
        </w:tc>
      </w:tr>
      <w:tr w:rsidR="00B15358" w:rsidRPr="00B15358" w14:paraId="357A2D62"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6A0358C8"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Unit 24</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1D71E566"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Home occupations</w:t>
            </w:r>
          </w:p>
        </w:tc>
      </w:tr>
      <w:tr w:rsidR="00B15358" w:rsidRPr="00B15358" w14:paraId="35A1BEDA"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2B2BCC57"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Unit 25</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4A4AE0E0"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Offices, studios, and related services</w:t>
            </w:r>
          </w:p>
        </w:tc>
      </w:tr>
      <w:tr w:rsidR="00B15358" w:rsidRPr="00B15358" w14:paraId="3B3E7A38"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192383FE"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Unit 26</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028B761A"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Multi-family dwellings</w:t>
            </w:r>
          </w:p>
        </w:tc>
      </w:tr>
      <w:tr w:rsidR="00B15358" w:rsidRPr="00B15358" w14:paraId="74622F6D"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66E387B7"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Unit 34</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41DA725D"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Liquor stores</w:t>
            </w:r>
          </w:p>
        </w:tc>
      </w:tr>
      <w:tr w:rsidR="00B15358" w:rsidRPr="00B15358" w14:paraId="28A17230"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75C25A09"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Unit 40</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3C050BC6"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Sidewalk Cafes</w:t>
            </w:r>
          </w:p>
        </w:tc>
      </w:tr>
      <w:tr w:rsidR="00B15358" w:rsidRPr="00B15358" w14:paraId="49800929"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54A66B4F"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Unit 41</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0F6FA7AB"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Accessory dwellings</w:t>
            </w:r>
          </w:p>
        </w:tc>
      </w:tr>
      <w:tr w:rsidR="00B15358" w:rsidRPr="00B15358" w14:paraId="19B7E92E"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4FEC5305"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Unit 44</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3839BA96"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Cluster Housing Development</w:t>
            </w:r>
          </w:p>
        </w:tc>
      </w:tr>
      <w:tr w:rsidR="00B15358" w:rsidRPr="00B15358" w14:paraId="541A0AF7"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3F7957A3"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Unit 45</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2D23DE75"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Small scale production</w:t>
            </w:r>
          </w:p>
        </w:tc>
      </w:tr>
      <w:tr w:rsidR="00B15358" w:rsidRPr="00B15358" w14:paraId="452B1C6A"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0623851E"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Unit 46</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1BB68C25"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Short-term rentals</w:t>
            </w:r>
          </w:p>
        </w:tc>
      </w:tr>
    </w:tbl>
    <w:p w14:paraId="41617433" w14:textId="58B5E407"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 </w:t>
      </w:r>
    </w:p>
    <w:p w14:paraId="52B39E3F" w14:textId="77777777" w:rsidR="00B15358" w:rsidRPr="00B15358" w:rsidRDefault="00B15358" w:rsidP="00B15358">
      <w:pPr>
        <w:shd w:val="clear" w:color="auto" w:fill="FFFFFF"/>
        <w:spacing w:before="100" w:beforeAutospacing="1" w:after="100" w:afterAutospacing="1"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Note: Any combination of above uses is permitted upon any lot within this zone. Conditional uses shall need approval when combined with pre-approved uses.</w:t>
      </w:r>
    </w:p>
    <w:p w14:paraId="4FCAA8EF" w14:textId="77777777" w:rsidR="00B15358" w:rsidRPr="00B15358" w:rsidRDefault="00B15358" w:rsidP="00B15358">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(2)</w:t>
      </w:r>
    </w:p>
    <w:p w14:paraId="2CBFAEB2" w14:textId="77777777"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i/>
          <w:iCs/>
          <w:color w:val="313335"/>
          <w:spacing w:val="2"/>
          <w:sz w:val="21"/>
          <w:szCs w:val="21"/>
        </w:rPr>
        <w:t>Conditional Uses.</w:t>
      </w:r>
    </w:p>
    <w:p w14:paraId="509D9C49" w14:textId="77777777" w:rsidR="00B15358" w:rsidRPr="00B15358" w:rsidRDefault="00B15358" w:rsidP="00B15358">
      <w:pPr>
        <w:shd w:val="clear" w:color="auto" w:fill="FFFFFF"/>
        <w:spacing w:beforeAutospacing="1" w:after="0" w:afterAutospacing="1" w:line="240" w:lineRule="auto"/>
        <w:ind w:left="720"/>
        <w:rPr>
          <w:rFonts w:ascii="Open Sans" w:eastAsia="Times New Roman" w:hAnsi="Open Sans" w:cs="Open Sans"/>
          <w:color w:val="313335"/>
          <w:sz w:val="21"/>
          <w:szCs w:val="21"/>
        </w:rPr>
      </w:pPr>
      <w:r w:rsidRPr="00B15358">
        <w:rPr>
          <w:rFonts w:ascii="Open Sans" w:eastAsia="Times New Roman" w:hAnsi="Open Sans" w:cs="Open Sans"/>
          <w:color w:val="313335"/>
          <w:sz w:val="21"/>
          <w:szCs w:val="21"/>
        </w:rPr>
        <w:t> EXPAND</w:t>
      </w:r>
    </w:p>
    <w:tbl>
      <w:tblPr>
        <w:tblW w:w="8930" w:type="dxa"/>
        <w:tblInd w:w="72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1182"/>
        <w:gridCol w:w="7748"/>
      </w:tblGrid>
      <w:tr w:rsidR="00B15358" w:rsidRPr="00B15358" w14:paraId="04AAFAEF"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49816A25"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Unit 2</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04D1EE2E"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City-wide uses by conditional use permit</w:t>
            </w:r>
          </w:p>
        </w:tc>
      </w:tr>
      <w:tr w:rsidR="00B15358" w:rsidRPr="00B15358" w14:paraId="328D7E6E"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2E695A59"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Unit 3</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1ABBD2AA"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Public protection and utility facilities</w:t>
            </w:r>
          </w:p>
        </w:tc>
      </w:tr>
      <w:tr w:rsidR="00B15358" w:rsidRPr="00B15358" w14:paraId="2B298350"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7937FE0D"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Unit 18</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741A2C7C"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Gasoline service stations and drive-in/drive-through restaurants</w:t>
            </w:r>
          </w:p>
        </w:tc>
      </w:tr>
      <w:tr w:rsidR="00B15358" w:rsidRPr="00B15358" w14:paraId="680B3606"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729F6E0C"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Unit 28</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694DC854"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Center for collecting recyclable materials</w:t>
            </w:r>
          </w:p>
        </w:tc>
      </w:tr>
      <w:tr w:rsidR="00B15358" w:rsidRPr="00B15358" w14:paraId="7A78DDAB"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11247985"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lastRenderedPageBreak/>
              <w:t>Unit 29</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3F56A807"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Dance halls</w:t>
            </w:r>
          </w:p>
        </w:tc>
      </w:tr>
      <w:tr w:rsidR="00B15358" w:rsidRPr="00B15358" w14:paraId="6815762A"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09DCF41E"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Unit 35</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7C8DD446" w14:textId="77777777" w:rsidR="00B15358" w:rsidRPr="00E56A81" w:rsidRDefault="00B15358" w:rsidP="00B15358">
            <w:pPr>
              <w:spacing w:after="0" w:line="240" w:lineRule="auto"/>
              <w:rPr>
                <w:rFonts w:ascii="Times New Roman" w:eastAsia="Times New Roman" w:hAnsi="Times New Roman" w:cs="Times New Roman"/>
                <w:sz w:val="24"/>
                <w:szCs w:val="24"/>
              </w:rPr>
            </w:pPr>
            <w:r w:rsidRPr="00E56A81">
              <w:rPr>
                <w:rFonts w:ascii="Times New Roman" w:eastAsia="Times New Roman" w:hAnsi="Times New Roman" w:cs="Times New Roman"/>
                <w:sz w:val="24"/>
                <w:szCs w:val="24"/>
              </w:rPr>
              <w:t>Outdoor music establishments</w:t>
            </w:r>
          </w:p>
        </w:tc>
      </w:tr>
      <w:tr w:rsidR="00B15358" w:rsidRPr="00B15358" w14:paraId="00563887"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1A632976"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Unit 36</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693A6589"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Wireless communication facilities</w:t>
            </w:r>
          </w:p>
        </w:tc>
      </w:tr>
      <w:tr w:rsidR="00B15358" w:rsidRPr="00B15358" w14:paraId="41D00DA0"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06C33AE9"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Unit 42</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0AB7A20A"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Clean technologies</w:t>
            </w:r>
          </w:p>
        </w:tc>
      </w:tr>
    </w:tbl>
    <w:p w14:paraId="65E49BDD" w14:textId="08C136D2"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 </w:t>
      </w:r>
    </w:p>
    <w:p w14:paraId="0E3C6087" w14:textId="77777777" w:rsidR="00B15358" w:rsidRPr="00B15358" w:rsidRDefault="00B15358" w:rsidP="00B15358">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(C)</w:t>
      </w:r>
    </w:p>
    <w:p w14:paraId="3D4FDC75" w14:textId="77777777"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i/>
          <w:iCs/>
          <w:color w:val="313335"/>
          <w:spacing w:val="2"/>
          <w:sz w:val="21"/>
          <w:szCs w:val="21"/>
        </w:rPr>
        <w:t>Density.</w:t>
      </w:r>
      <w:r w:rsidRPr="00B15358">
        <w:rPr>
          <w:rFonts w:ascii="Open Sans" w:eastAsia="Times New Roman" w:hAnsi="Open Sans" w:cs="Open Sans"/>
          <w:color w:val="313335"/>
          <w:spacing w:val="2"/>
          <w:sz w:val="21"/>
          <w:szCs w:val="21"/>
        </w:rPr>
        <w:t> None.</w:t>
      </w:r>
    </w:p>
    <w:p w14:paraId="3BC93DEF" w14:textId="77777777" w:rsidR="00B15358" w:rsidRPr="00B15358" w:rsidRDefault="00B15358" w:rsidP="00B15358">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(D)</w:t>
      </w:r>
    </w:p>
    <w:p w14:paraId="3259D3F7" w14:textId="77777777"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i/>
          <w:iCs/>
          <w:color w:val="313335"/>
          <w:spacing w:val="2"/>
          <w:sz w:val="21"/>
          <w:szCs w:val="21"/>
        </w:rPr>
        <w:t>Bulk and Area Regulations</w:t>
      </w:r>
      <w:r w:rsidRPr="00B15358">
        <w:rPr>
          <w:rFonts w:ascii="Open Sans" w:eastAsia="Times New Roman" w:hAnsi="Open Sans" w:cs="Open Sans"/>
          <w:color w:val="313335"/>
          <w:spacing w:val="2"/>
          <w:sz w:val="21"/>
          <w:szCs w:val="21"/>
        </w:rPr>
        <w:t>.</w:t>
      </w:r>
    </w:p>
    <w:p w14:paraId="3B2571EA" w14:textId="77777777" w:rsidR="00B15358" w:rsidRPr="00B15358" w:rsidRDefault="00B15358" w:rsidP="00B15358">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(1)</w:t>
      </w:r>
    </w:p>
    <w:p w14:paraId="268FE6EA" w14:textId="77777777"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i/>
          <w:iCs/>
          <w:color w:val="313335"/>
          <w:spacing w:val="2"/>
          <w:sz w:val="21"/>
          <w:szCs w:val="21"/>
        </w:rPr>
        <w:t>Lot Width Minimum.</w:t>
      </w:r>
    </w:p>
    <w:p w14:paraId="799A6EBA" w14:textId="77777777" w:rsidR="00B15358" w:rsidRPr="00B15358" w:rsidRDefault="00B15358" w:rsidP="00B15358">
      <w:pPr>
        <w:shd w:val="clear" w:color="auto" w:fill="FFFFFF"/>
        <w:spacing w:beforeAutospacing="1" w:after="0" w:afterAutospacing="1" w:line="240" w:lineRule="auto"/>
        <w:ind w:left="720"/>
        <w:rPr>
          <w:rFonts w:ascii="Open Sans" w:eastAsia="Times New Roman" w:hAnsi="Open Sans" w:cs="Open Sans"/>
          <w:color w:val="313335"/>
          <w:sz w:val="21"/>
          <w:szCs w:val="21"/>
        </w:rPr>
      </w:pPr>
      <w:r w:rsidRPr="00B15358">
        <w:rPr>
          <w:rFonts w:ascii="Open Sans" w:eastAsia="Times New Roman" w:hAnsi="Open Sans" w:cs="Open Sans"/>
          <w:color w:val="313335"/>
          <w:sz w:val="21"/>
          <w:szCs w:val="21"/>
        </w:rPr>
        <w:t> EXPAND</w:t>
      </w:r>
    </w:p>
    <w:tbl>
      <w:tblPr>
        <w:tblW w:w="8930" w:type="dxa"/>
        <w:tblInd w:w="72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6629"/>
        <w:gridCol w:w="2301"/>
      </w:tblGrid>
      <w:tr w:rsidR="00B15358" w:rsidRPr="00B15358" w14:paraId="6E3AB455"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3496DFF7"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Dwelling (all unit types)</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1B1ACD17"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18 feet</w:t>
            </w:r>
          </w:p>
        </w:tc>
      </w:tr>
    </w:tbl>
    <w:p w14:paraId="73FA39CE" w14:textId="028EC273"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 </w:t>
      </w:r>
    </w:p>
    <w:p w14:paraId="618887D3" w14:textId="77777777" w:rsidR="00B15358" w:rsidRPr="00B15358" w:rsidRDefault="00B15358" w:rsidP="00B15358">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(2)</w:t>
      </w:r>
    </w:p>
    <w:p w14:paraId="4DCF8A62" w14:textId="77777777"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i/>
          <w:iCs/>
          <w:color w:val="313335"/>
          <w:spacing w:val="2"/>
          <w:sz w:val="21"/>
          <w:szCs w:val="21"/>
        </w:rPr>
        <w:t>Lot Area Minimum.</w:t>
      </w:r>
      <w:r w:rsidRPr="00B15358">
        <w:rPr>
          <w:rFonts w:ascii="Open Sans" w:eastAsia="Times New Roman" w:hAnsi="Open Sans" w:cs="Open Sans"/>
          <w:color w:val="313335"/>
          <w:spacing w:val="2"/>
          <w:sz w:val="21"/>
          <w:szCs w:val="21"/>
        </w:rPr>
        <w:t> None.</w:t>
      </w:r>
    </w:p>
    <w:p w14:paraId="2DFCBE8C" w14:textId="77777777" w:rsidR="00B15358" w:rsidRPr="00B15358" w:rsidRDefault="00B15358" w:rsidP="00B15358">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(E)</w:t>
      </w:r>
    </w:p>
    <w:p w14:paraId="5426DEBE" w14:textId="77777777"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i/>
          <w:iCs/>
          <w:color w:val="313335"/>
          <w:spacing w:val="2"/>
          <w:sz w:val="21"/>
          <w:szCs w:val="21"/>
        </w:rPr>
        <w:t>Setback Regulations</w:t>
      </w:r>
      <w:r w:rsidRPr="00B15358">
        <w:rPr>
          <w:rFonts w:ascii="Open Sans" w:eastAsia="Times New Roman" w:hAnsi="Open Sans" w:cs="Open Sans"/>
          <w:color w:val="313335"/>
          <w:spacing w:val="2"/>
          <w:sz w:val="21"/>
          <w:szCs w:val="21"/>
        </w:rPr>
        <w:t>.</w:t>
      </w:r>
    </w:p>
    <w:p w14:paraId="723C0FB6" w14:textId="77777777" w:rsidR="00B15358" w:rsidRPr="00B15358" w:rsidRDefault="00B15358" w:rsidP="00B15358">
      <w:pPr>
        <w:shd w:val="clear" w:color="auto" w:fill="FFFFFF"/>
        <w:spacing w:beforeAutospacing="1" w:after="0" w:afterAutospacing="1" w:line="240" w:lineRule="auto"/>
        <w:ind w:left="720"/>
        <w:rPr>
          <w:rFonts w:ascii="Open Sans" w:eastAsia="Times New Roman" w:hAnsi="Open Sans" w:cs="Open Sans"/>
          <w:color w:val="313335"/>
          <w:sz w:val="21"/>
          <w:szCs w:val="21"/>
        </w:rPr>
      </w:pPr>
      <w:r w:rsidRPr="00B15358">
        <w:rPr>
          <w:rFonts w:ascii="Open Sans" w:eastAsia="Times New Roman" w:hAnsi="Open Sans" w:cs="Open Sans"/>
          <w:color w:val="313335"/>
          <w:sz w:val="21"/>
          <w:szCs w:val="21"/>
        </w:rPr>
        <w:t> EXPAND</w:t>
      </w:r>
    </w:p>
    <w:tbl>
      <w:tblPr>
        <w:tblW w:w="8930" w:type="dxa"/>
        <w:tblInd w:w="72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2327"/>
        <w:gridCol w:w="6603"/>
      </w:tblGrid>
      <w:tr w:rsidR="00B15358" w:rsidRPr="00B15358" w14:paraId="53DB2DA1"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0533C084"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Front</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2D6D441F"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A build-to zone that is located between the front property line and a line 25 feet from the front property line.</w:t>
            </w:r>
          </w:p>
        </w:tc>
      </w:tr>
      <w:tr w:rsidR="00B15358" w:rsidRPr="00B15358" w14:paraId="1F0CAC4F"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1A726790"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Side</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31FBAC45"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None</w:t>
            </w:r>
          </w:p>
        </w:tc>
      </w:tr>
      <w:tr w:rsidR="00B15358" w:rsidRPr="00B15358" w14:paraId="21575A83"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443B12FD"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lastRenderedPageBreak/>
              <w:t>Rear</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295447E8"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5 feet</w:t>
            </w:r>
          </w:p>
        </w:tc>
      </w:tr>
      <w:tr w:rsidR="00B15358" w:rsidRPr="00B15358" w14:paraId="5C6E69AA"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2F381527"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Rear, from center line of an alley</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1590508A"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12 feet</w:t>
            </w:r>
          </w:p>
        </w:tc>
      </w:tr>
    </w:tbl>
    <w:p w14:paraId="03121E28" w14:textId="6D821558"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 </w:t>
      </w:r>
      <w:r w:rsidRPr="00B15358">
        <w:rPr>
          <w:rFonts w:ascii="Open Sans" w:eastAsia="Times New Roman" w:hAnsi="Open Sans" w:cs="Open Sans"/>
          <w:color w:val="313335"/>
          <w:spacing w:val="2"/>
          <w:sz w:val="21"/>
          <w:szCs w:val="21"/>
        </w:rPr>
        <w:t> </w:t>
      </w:r>
      <w:r w:rsidRPr="00B15358">
        <w:rPr>
          <w:rFonts w:ascii="Open Sans" w:eastAsia="Times New Roman" w:hAnsi="Open Sans" w:cs="Open Sans"/>
          <w:color w:val="313335"/>
          <w:spacing w:val="2"/>
          <w:sz w:val="21"/>
          <w:szCs w:val="21"/>
        </w:rPr>
        <w:t>(F)</w:t>
      </w:r>
    </w:p>
    <w:p w14:paraId="691BA5F1" w14:textId="77777777"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i/>
          <w:iCs/>
          <w:color w:val="313335"/>
          <w:spacing w:val="2"/>
          <w:sz w:val="21"/>
          <w:szCs w:val="21"/>
        </w:rPr>
        <w:t>Minimum Buildable Street Frontage.</w:t>
      </w:r>
      <w:r w:rsidRPr="00B15358">
        <w:rPr>
          <w:rFonts w:ascii="Open Sans" w:eastAsia="Times New Roman" w:hAnsi="Open Sans" w:cs="Open Sans"/>
          <w:color w:val="313335"/>
          <w:spacing w:val="2"/>
          <w:sz w:val="21"/>
          <w:szCs w:val="21"/>
        </w:rPr>
        <w:t> 75% of lot width.</w:t>
      </w:r>
    </w:p>
    <w:p w14:paraId="64B9FE58" w14:textId="77777777" w:rsidR="00B15358" w:rsidRPr="00B15358" w:rsidRDefault="00B15358" w:rsidP="00B15358">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(G)</w:t>
      </w:r>
    </w:p>
    <w:p w14:paraId="4E5F671C" w14:textId="77777777"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i/>
          <w:iCs/>
          <w:color w:val="313335"/>
          <w:spacing w:val="2"/>
          <w:sz w:val="21"/>
          <w:szCs w:val="21"/>
        </w:rPr>
        <w:t>Building Height Regulations.</w:t>
      </w:r>
    </w:p>
    <w:p w14:paraId="3D0381A7" w14:textId="77777777" w:rsidR="00B15358" w:rsidRPr="00B15358" w:rsidRDefault="00B15358" w:rsidP="00B15358">
      <w:pPr>
        <w:shd w:val="clear" w:color="auto" w:fill="FFFFFF"/>
        <w:spacing w:beforeAutospacing="1" w:after="0" w:afterAutospacing="1" w:line="240" w:lineRule="auto"/>
        <w:ind w:left="720"/>
        <w:rPr>
          <w:rFonts w:ascii="Open Sans" w:eastAsia="Times New Roman" w:hAnsi="Open Sans" w:cs="Open Sans"/>
          <w:color w:val="313335"/>
          <w:sz w:val="21"/>
          <w:szCs w:val="21"/>
        </w:rPr>
      </w:pPr>
      <w:r w:rsidRPr="00B15358">
        <w:rPr>
          <w:rFonts w:ascii="Open Sans" w:eastAsia="Times New Roman" w:hAnsi="Open Sans" w:cs="Open Sans"/>
          <w:color w:val="313335"/>
          <w:sz w:val="21"/>
          <w:szCs w:val="21"/>
        </w:rPr>
        <w:t> EXPAND</w:t>
      </w:r>
    </w:p>
    <w:tbl>
      <w:tblPr>
        <w:tblW w:w="8930" w:type="dxa"/>
        <w:tblInd w:w="72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208"/>
        <w:gridCol w:w="3722"/>
      </w:tblGrid>
      <w:tr w:rsidR="00B15358" w:rsidRPr="00B15358" w14:paraId="4C066373" w14:textId="77777777" w:rsidTr="00B15358">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4A91AD66"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Building Height Maximum</w:t>
            </w:r>
          </w:p>
        </w:tc>
        <w:tc>
          <w:tcPr>
            <w:tcW w:w="0" w:type="auto"/>
            <w:tcBorders>
              <w:top w:val="outset" w:sz="6" w:space="0" w:color="auto"/>
              <w:left w:val="outset" w:sz="6" w:space="0" w:color="auto"/>
              <w:bottom w:val="outset" w:sz="6" w:space="0" w:color="auto"/>
              <w:right w:val="outset" w:sz="6" w:space="0" w:color="auto"/>
            </w:tcBorders>
            <w:tcMar>
              <w:top w:w="150" w:type="dxa"/>
              <w:left w:w="120" w:type="dxa"/>
              <w:bottom w:w="150" w:type="dxa"/>
              <w:right w:w="120" w:type="dxa"/>
            </w:tcMar>
            <w:hideMark/>
          </w:tcPr>
          <w:p w14:paraId="51B5F1B4" w14:textId="77777777" w:rsidR="00B15358" w:rsidRPr="00B15358" w:rsidRDefault="00B15358" w:rsidP="00B15358">
            <w:pPr>
              <w:spacing w:after="0" w:line="240" w:lineRule="auto"/>
              <w:rPr>
                <w:rFonts w:ascii="Times New Roman" w:eastAsia="Times New Roman" w:hAnsi="Times New Roman" w:cs="Times New Roman"/>
                <w:sz w:val="24"/>
                <w:szCs w:val="24"/>
              </w:rPr>
            </w:pPr>
            <w:r w:rsidRPr="00B15358">
              <w:rPr>
                <w:rFonts w:ascii="Times New Roman" w:eastAsia="Times New Roman" w:hAnsi="Times New Roman" w:cs="Times New Roman"/>
                <w:sz w:val="24"/>
                <w:szCs w:val="24"/>
              </w:rPr>
              <w:t>5 stories/7 stories*</w:t>
            </w:r>
          </w:p>
        </w:tc>
      </w:tr>
    </w:tbl>
    <w:p w14:paraId="2C22238C" w14:textId="77777777"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 </w:t>
      </w:r>
    </w:p>
    <w:p w14:paraId="34BA737F" w14:textId="77777777" w:rsidR="00B15358" w:rsidRPr="00B15358" w:rsidRDefault="00B15358" w:rsidP="00B15358">
      <w:pPr>
        <w:shd w:val="clear" w:color="auto" w:fill="FFFFFF"/>
        <w:spacing w:before="100" w:beforeAutospacing="1" w:after="100" w:afterAutospacing="1"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 </w:t>
      </w:r>
    </w:p>
    <w:p w14:paraId="6FEDAD78" w14:textId="77777777" w:rsidR="00B15358" w:rsidRPr="00B15358" w:rsidRDefault="00B15358" w:rsidP="00B15358">
      <w:pPr>
        <w:shd w:val="clear" w:color="auto" w:fill="FFFFFF"/>
        <w:spacing w:before="100" w:beforeAutospacing="1" w:after="100" w:afterAutospacing="1"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 A building or a portion of a building that is located between 0 and 15 feet from the front property line or any master street plan right-of-way line shall have a maximum height of five (5) stories. A building or a portion of a building that is located greater than 15 feet from the master street plan right-of-way line shall have a maximum height of seven (7) stories.</w:t>
      </w:r>
    </w:p>
    <w:p w14:paraId="0C24C8BC" w14:textId="77777777"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color w:val="313335"/>
          <w:spacing w:val="2"/>
          <w:sz w:val="21"/>
          <w:szCs w:val="21"/>
        </w:rPr>
        <w:t>(Ord. No. 5028, 6-19-07; Ord. No. 5029, 6-19-07; Ord. No. 5042, 8-07-07; Ord. No. 5195, 11-6-08; Ord. No. 5312, 4-20-10; Ord. No. 5339, 8-3-10; Ord. No. 5462, 12-6-11; Ord. No. 5592, 6-18-13; Ord. No. 5664, 2-18-14; Ord. No. 5735, 1-20-15; Ord. No. </w:t>
      </w:r>
      <w:hyperlink r:id="rId10" w:history="1">
        <w:r w:rsidRPr="00B15358">
          <w:rPr>
            <w:rFonts w:ascii="Open Sans" w:eastAsia="Times New Roman" w:hAnsi="Open Sans" w:cs="Open Sans"/>
            <w:color w:val="096FCC"/>
            <w:spacing w:val="2"/>
            <w:sz w:val="21"/>
            <w:szCs w:val="21"/>
            <w:u w:val="single"/>
          </w:rPr>
          <w:t>5800 </w:t>
        </w:r>
      </w:hyperlink>
      <w:r w:rsidRPr="00B15358">
        <w:rPr>
          <w:rFonts w:ascii="Open Sans" w:eastAsia="Times New Roman" w:hAnsi="Open Sans" w:cs="Open Sans"/>
          <w:color w:val="313335"/>
          <w:spacing w:val="2"/>
          <w:sz w:val="21"/>
          <w:szCs w:val="21"/>
        </w:rPr>
        <w:t>, §1(</w:t>
      </w:r>
      <w:proofErr w:type="spellStart"/>
      <w:r w:rsidRPr="00B15358">
        <w:rPr>
          <w:rFonts w:ascii="Open Sans" w:eastAsia="Times New Roman" w:hAnsi="Open Sans" w:cs="Open Sans"/>
          <w:color w:val="313335"/>
          <w:spacing w:val="2"/>
          <w:sz w:val="21"/>
          <w:szCs w:val="21"/>
        </w:rPr>
        <w:t>Exh</w:t>
      </w:r>
      <w:proofErr w:type="spellEnd"/>
      <w:r w:rsidRPr="00B15358">
        <w:rPr>
          <w:rFonts w:ascii="Open Sans" w:eastAsia="Times New Roman" w:hAnsi="Open Sans" w:cs="Open Sans"/>
          <w:color w:val="313335"/>
          <w:spacing w:val="2"/>
          <w:sz w:val="21"/>
          <w:szCs w:val="21"/>
        </w:rPr>
        <w:t>. A), 10-6-15; Ord. No. </w:t>
      </w:r>
      <w:hyperlink r:id="rId11" w:history="1">
        <w:r w:rsidRPr="00B15358">
          <w:rPr>
            <w:rFonts w:ascii="Open Sans" w:eastAsia="Times New Roman" w:hAnsi="Open Sans" w:cs="Open Sans"/>
            <w:color w:val="096FCC"/>
            <w:spacing w:val="2"/>
            <w:sz w:val="21"/>
            <w:szCs w:val="21"/>
            <w:u w:val="single"/>
          </w:rPr>
          <w:t>5921 </w:t>
        </w:r>
      </w:hyperlink>
      <w:r w:rsidRPr="00B15358">
        <w:rPr>
          <w:rFonts w:ascii="Open Sans" w:eastAsia="Times New Roman" w:hAnsi="Open Sans" w:cs="Open Sans"/>
          <w:color w:val="313335"/>
          <w:spacing w:val="2"/>
          <w:sz w:val="21"/>
          <w:szCs w:val="21"/>
        </w:rPr>
        <w:t>, §1, 11-1-16; Ord. No. </w:t>
      </w:r>
      <w:hyperlink r:id="rId12" w:history="1">
        <w:r w:rsidRPr="00B15358">
          <w:rPr>
            <w:rFonts w:ascii="Open Sans" w:eastAsia="Times New Roman" w:hAnsi="Open Sans" w:cs="Open Sans"/>
            <w:color w:val="096FCC"/>
            <w:spacing w:val="2"/>
            <w:sz w:val="21"/>
            <w:szCs w:val="21"/>
            <w:u w:val="single"/>
          </w:rPr>
          <w:t>5945 </w:t>
        </w:r>
      </w:hyperlink>
      <w:r w:rsidRPr="00B15358">
        <w:rPr>
          <w:rFonts w:ascii="Open Sans" w:eastAsia="Times New Roman" w:hAnsi="Open Sans" w:cs="Open Sans"/>
          <w:color w:val="313335"/>
          <w:spacing w:val="2"/>
          <w:sz w:val="21"/>
          <w:szCs w:val="21"/>
        </w:rPr>
        <w:t>, §§5, 7—9, 1-17-17; Ord. No. </w:t>
      </w:r>
      <w:hyperlink r:id="rId13" w:history="1">
        <w:r w:rsidRPr="00B15358">
          <w:rPr>
            <w:rFonts w:ascii="Open Sans" w:eastAsia="Times New Roman" w:hAnsi="Open Sans" w:cs="Open Sans"/>
            <w:color w:val="096FCC"/>
            <w:spacing w:val="2"/>
            <w:sz w:val="21"/>
            <w:szCs w:val="21"/>
            <w:u w:val="single"/>
          </w:rPr>
          <w:t>6015 </w:t>
        </w:r>
      </w:hyperlink>
      <w:r w:rsidRPr="00B15358">
        <w:rPr>
          <w:rFonts w:ascii="Open Sans" w:eastAsia="Times New Roman" w:hAnsi="Open Sans" w:cs="Open Sans"/>
          <w:color w:val="313335"/>
          <w:spacing w:val="2"/>
          <w:sz w:val="21"/>
          <w:szCs w:val="21"/>
        </w:rPr>
        <w:t>, §1(</w:t>
      </w:r>
      <w:proofErr w:type="spellStart"/>
      <w:r w:rsidRPr="00B15358">
        <w:rPr>
          <w:rFonts w:ascii="Open Sans" w:eastAsia="Times New Roman" w:hAnsi="Open Sans" w:cs="Open Sans"/>
          <w:color w:val="313335"/>
          <w:spacing w:val="2"/>
          <w:sz w:val="21"/>
          <w:szCs w:val="21"/>
        </w:rPr>
        <w:t>Exh</w:t>
      </w:r>
      <w:proofErr w:type="spellEnd"/>
      <w:r w:rsidRPr="00B15358">
        <w:rPr>
          <w:rFonts w:ascii="Open Sans" w:eastAsia="Times New Roman" w:hAnsi="Open Sans" w:cs="Open Sans"/>
          <w:color w:val="313335"/>
          <w:spacing w:val="2"/>
          <w:sz w:val="21"/>
          <w:szCs w:val="21"/>
        </w:rPr>
        <w:t>. A), 11-21-17; Ord. No. </w:t>
      </w:r>
      <w:hyperlink r:id="rId14" w:history="1">
        <w:r w:rsidRPr="00B15358">
          <w:rPr>
            <w:rFonts w:ascii="Open Sans" w:eastAsia="Times New Roman" w:hAnsi="Open Sans" w:cs="Open Sans"/>
            <w:color w:val="096FCC"/>
            <w:spacing w:val="2"/>
            <w:sz w:val="21"/>
            <w:szCs w:val="21"/>
            <w:u w:val="single"/>
          </w:rPr>
          <w:t>6223 </w:t>
        </w:r>
      </w:hyperlink>
      <w:r w:rsidRPr="00B15358">
        <w:rPr>
          <w:rFonts w:ascii="Open Sans" w:eastAsia="Times New Roman" w:hAnsi="Open Sans" w:cs="Open Sans"/>
          <w:color w:val="313335"/>
          <w:spacing w:val="2"/>
          <w:sz w:val="21"/>
          <w:szCs w:val="21"/>
        </w:rPr>
        <w:t>, §1, 9-3-19; </w:t>
      </w:r>
      <w:hyperlink r:id="rId15" w:history="1">
        <w:r w:rsidRPr="00B15358">
          <w:rPr>
            <w:rFonts w:ascii="Open Sans" w:eastAsia="Times New Roman" w:hAnsi="Open Sans" w:cs="Open Sans"/>
            <w:color w:val="096FCC"/>
            <w:spacing w:val="2"/>
            <w:sz w:val="21"/>
            <w:szCs w:val="21"/>
            <w:u w:val="single"/>
          </w:rPr>
          <w:t>Ord. No. 6427 </w:t>
        </w:r>
      </w:hyperlink>
      <w:r w:rsidRPr="00B15358">
        <w:rPr>
          <w:rFonts w:ascii="Open Sans" w:eastAsia="Times New Roman" w:hAnsi="Open Sans" w:cs="Open Sans"/>
          <w:color w:val="313335"/>
          <w:spacing w:val="2"/>
          <w:sz w:val="21"/>
          <w:szCs w:val="21"/>
        </w:rPr>
        <w:t>, §§1(</w:t>
      </w:r>
      <w:proofErr w:type="spellStart"/>
      <w:r w:rsidRPr="00B15358">
        <w:rPr>
          <w:rFonts w:ascii="Open Sans" w:eastAsia="Times New Roman" w:hAnsi="Open Sans" w:cs="Open Sans"/>
          <w:color w:val="313335"/>
          <w:spacing w:val="2"/>
          <w:sz w:val="21"/>
          <w:szCs w:val="21"/>
        </w:rPr>
        <w:t>Exh</w:t>
      </w:r>
      <w:proofErr w:type="spellEnd"/>
      <w:r w:rsidRPr="00B15358">
        <w:rPr>
          <w:rFonts w:ascii="Open Sans" w:eastAsia="Times New Roman" w:hAnsi="Open Sans" w:cs="Open Sans"/>
          <w:color w:val="313335"/>
          <w:spacing w:val="2"/>
          <w:sz w:val="21"/>
          <w:szCs w:val="21"/>
        </w:rPr>
        <w:t>. C), 2, 4-20-21)</w:t>
      </w:r>
    </w:p>
    <w:p w14:paraId="7A359CC0" w14:textId="77777777" w:rsidR="00B15358" w:rsidRPr="00B15358" w:rsidRDefault="00B15358" w:rsidP="00B15358">
      <w:pPr>
        <w:shd w:val="clear" w:color="auto" w:fill="FFFFFF"/>
        <w:spacing w:after="195" w:line="240" w:lineRule="auto"/>
        <w:ind w:left="720"/>
        <w:rPr>
          <w:rFonts w:ascii="Open Sans" w:eastAsia="Times New Roman" w:hAnsi="Open Sans" w:cs="Open Sans"/>
          <w:color w:val="313335"/>
          <w:spacing w:val="2"/>
          <w:sz w:val="21"/>
          <w:szCs w:val="21"/>
        </w:rPr>
      </w:pPr>
      <w:r w:rsidRPr="00B15358">
        <w:rPr>
          <w:rFonts w:ascii="Open Sans" w:eastAsia="Times New Roman" w:hAnsi="Open Sans" w:cs="Open Sans"/>
          <w:b/>
          <w:bCs/>
          <w:color w:val="313335"/>
          <w:spacing w:val="2"/>
          <w:sz w:val="21"/>
          <w:szCs w:val="21"/>
        </w:rPr>
        <w:t>Editor's note— </w:t>
      </w:r>
      <w:hyperlink r:id="rId16" w:history="1">
        <w:r w:rsidRPr="00B15358">
          <w:rPr>
            <w:rFonts w:ascii="Open Sans" w:eastAsia="Times New Roman" w:hAnsi="Open Sans" w:cs="Open Sans"/>
            <w:color w:val="096FCC"/>
            <w:spacing w:val="2"/>
            <w:sz w:val="21"/>
            <w:szCs w:val="21"/>
            <w:u w:val="single"/>
          </w:rPr>
          <w:t>Ord. No. 6427 </w:t>
        </w:r>
      </w:hyperlink>
      <w:r w:rsidRPr="00B15358">
        <w:rPr>
          <w:rFonts w:ascii="Open Sans" w:eastAsia="Times New Roman" w:hAnsi="Open Sans" w:cs="Open Sans"/>
          <w:color w:val="313335"/>
          <w:spacing w:val="2"/>
          <w:sz w:val="21"/>
          <w:szCs w:val="21"/>
        </w:rPr>
        <w:t>, § 2, adopted April 20, 2021, "determines that this ordinance and all amendments to Code sections ordained or enacted by this ordinance shall automatically sunset, be repealed, terminated, and become void twenty (20) months after the passage and approval of this ordinance, unless prior to that date, the City Council amends this ordinance to repeal this sunset, repeal and termination section."</w:t>
      </w:r>
    </w:p>
    <w:p w14:paraId="08102CC2" w14:textId="77777777" w:rsidR="00A1767E" w:rsidRDefault="00A1767E"/>
    <w:sectPr w:rsidR="00A176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D0796"/>
    <w:multiLevelType w:val="multilevel"/>
    <w:tmpl w:val="8B6C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4761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358"/>
    <w:rsid w:val="006C4333"/>
    <w:rsid w:val="00977ACA"/>
    <w:rsid w:val="00A1767E"/>
    <w:rsid w:val="00B15358"/>
    <w:rsid w:val="00BA6479"/>
    <w:rsid w:val="00E56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9DD93"/>
  <w15:chartTrackingRefBased/>
  <w15:docId w15:val="{9000F1CC-C52E-4C5A-A99C-57A50721A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7943734">
      <w:bodyDiv w:val="1"/>
      <w:marLeft w:val="0"/>
      <w:marRight w:val="0"/>
      <w:marTop w:val="0"/>
      <w:marBottom w:val="0"/>
      <w:divBdr>
        <w:top w:val="none" w:sz="0" w:space="0" w:color="auto"/>
        <w:left w:val="none" w:sz="0" w:space="0" w:color="auto"/>
        <w:bottom w:val="none" w:sz="0" w:space="0" w:color="auto"/>
        <w:right w:val="none" w:sz="0" w:space="0" w:color="auto"/>
      </w:divBdr>
      <w:divsChild>
        <w:div w:id="662468986">
          <w:marLeft w:val="0"/>
          <w:marRight w:val="0"/>
          <w:marTop w:val="0"/>
          <w:marBottom w:val="0"/>
          <w:divBdr>
            <w:top w:val="none" w:sz="0" w:space="0" w:color="auto"/>
            <w:left w:val="none" w:sz="0" w:space="0" w:color="auto"/>
            <w:bottom w:val="none" w:sz="0" w:space="0" w:color="auto"/>
            <w:right w:val="none" w:sz="0" w:space="0" w:color="auto"/>
          </w:divBdr>
          <w:divsChild>
            <w:div w:id="671876948">
              <w:marLeft w:val="0"/>
              <w:marRight w:val="0"/>
              <w:marTop w:val="0"/>
              <w:marBottom w:val="0"/>
              <w:divBdr>
                <w:top w:val="none" w:sz="0" w:space="0" w:color="auto"/>
                <w:left w:val="none" w:sz="0" w:space="0" w:color="auto"/>
                <w:bottom w:val="none" w:sz="0" w:space="0" w:color="auto"/>
                <w:right w:val="none" w:sz="0" w:space="0" w:color="auto"/>
              </w:divBdr>
              <w:divsChild>
                <w:div w:id="926572878">
                  <w:marLeft w:val="0"/>
                  <w:marRight w:val="0"/>
                  <w:marTop w:val="0"/>
                  <w:marBottom w:val="0"/>
                  <w:divBdr>
                    <w:top w:val="none" w:sz="0" w:space="0" w:color="auto"/>
                    <w:left w:val="none" w:sz="0" w:space="0" w:color="auto"/>
                    <w:bottom w:val="none" w:sz="0" w:space="0" w:color="auto"/>
                    <w:right w:val="none" w:sz="0" w:space="0" w:color="auto"/>
                  </w:divBdr>
                  <w:divsChild>
                    <w:div w:id="588271836">
                      <w:marLeft w:val="0"/>
                      <w:marRight w:val="0"/>
                      <w:marTop w:val="0"/>
                      <w:marBottom w:val="0"/>
                      <w:divBdr>
                        <w:top w:val="none" w:sz="0" w:space="0" w:color="auto"/>
                        <w:left w:val="none" w:sz="0" w:space="0" w:color="auto"/>
                        <w:bottom w:val="none" w:sz="0" w:space="0" w:color="auto"/>
                        <w:right w:val="none" w:sz="0" w:space="0" w:color="auto"/>
                      </w:divBdr>
                      <w:divsChild>
                        <w:div w:id="484904139">
                          <w:marLeft w:val="0"/>
                          <w:marRight w:val="0"/>
                          <w:marTop w:val="120"/>
                          <w:marBottom w:val="120"/>
                          <w:divBdr>
                            <w:top w:val="none" w:sz="0" w:space="0" w:color="auto"/>
                            <w:left w:val="none" w:sz="0" w:space="0" w:color="auto"/>
                            <w:bottom w:val="none" w:sz="0" w:space="0" w:color="auto"/>
                            <w:right w:val="none" w:sz="0" w:space="0" w:color="auto"/>
                          </w:divBdr>
                          <w:divsChild>
                            <w:div w:id="1790125464">
                              <w:marLeft w:val="0"/>
                              <w:marRight w:val="0"/>
                              <w:marTop w:val="0"/>
                              <w:marBottom w:val="0"/>
                              <w:divBdr>
                                <w:top w:val="none" w:sz="0" w:space="0" w:color="auto"/>
                                <w:left w:val="none" w:sz="0" w:space="0" w:color="auto"/>
                                <w:bottom w:val="none" w:sz="0" w:space="0" w:color="auto"/>
                                <w:right w:val="none" w:sz="0" w:space="0" w:color="auto"/>
                              </w:divBdr>
                              <w:divsChild>
                                <w:div w:id="743912875">
                                  <w:marLeft w:val="0"/>
                                  <w:marRight w:val="0"/>
                                  <w:marTop w:val="0"/>
                                  <w:marBottom w:val="0"/>
                                  <w:divBdr>
                                    <w:top w:val="none" w:sz="0" w:space="0" w:color="auto"/>
                                    <w:left w:val="none" w:sz="0" w:space="0" w:color="auto"/>
                                    <w:bottom w:val="none" w:sz="0" w:space="0" w:color="auto"/>
                                    <w:right w:val="none" w:sz="0" w:space="0" w:color="auto"/>
                                  </w:divBdr>
                                </w:div>
                              </w:divsChild>
                            </w:div>
                            <w:div w:id="771168208">
                              <w:marLeft w:val="0"/>
                              <w:marRight w:val="0"/>
                              <w:marTop w:val="0"/>
                              <w:marBottom w:val="0"/>
                              <w:divBdr>
                                <w:top w:val="none" w:sz="0" w:space="0" w:color="auto"/>
                                <w:left w:val="none" w:sz="0" w:space="0" w:color="auto"/>
                                <w:bottom w:val="none" w:sz="0" w:space="0" w:color="auto"/>
                                <w:right w:val="none" w:sz="0" w:space="0" w:color="auto"/>
                              </w:divBdr>
                              <w:divsChild>
                                <w:div w:id="128904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406464">
                          <w:marLeft w:val="0"/>
                          <w:marRight w:val="0"/>
                          <w:marTop w:val="0"/>
                          <w:marBottom w:val="0"/>
                          <w:divBdr>
                            <w:top w:val="none" w:sz="0" w:space="0" w:color="auto"/>
                            <w:left w:val="none" w:sz="0" w:space="0" w:color="auto"/>
                            <w:bottom w:val="none" w:sz="0" w:space="0" w:color="auto"/>
                            <w:right w:val="none" w:sz="0" w:space="0" w:color="auto"/>
                          </w:divBdr>
                          <w:divsChild>
                            <w:div w:id="1811481796">
                              <w:marLeft w:val="0"/>
                              <w:marRight w:val="0"/>
                              <w:marTop w:val="0"/>
                              <w:marBottom w:val="0"/>
                              <w:divBdr>
                                <w:top w:val="none" w:sz="0" w:space="0" w:color="auto"/>
                                <w:left w:val="none" w:sz="0" w:space="0" w:color="auto"/>
                                <w:bottom w:val="none" w:sz="0" w:space="0" w:color="auto"/>
                                <w:right w:val="none" w:sz="0" w:space="0" w:color="auto"/>
                              </w:divBdr>
                              <w:divsChild>
                                <w:div w:id="332608917">
                                  <w:marLeft w:val="0"/>
                                  <w:marRight w:val="0"/>
                                  <w:marTop w:val="0"/>
                                  <w:marBottom w:val="0"/>
                                  <w:divBdr>
                                    <w:top w:val="none" w:sz="0" w:space="0" w:color="auto"/>
                                    <w:left w:val="none" w:sz="0" w:space="0" w:color="auto"/>
                                    <w:bottom w:val="none" w:sz="0" w:space="0" w:color="auto"/>
                                    <w:right w:val="none" w:sz="0" w:space="0" w:color="auto"/>
                                  </w:divBdr>
                                  <w:divsChild>
                                    <w:div w:id="83651609">
                                      <w:marLeft w:val="0"/>
                                      <w:marRight w:val="0"/>
                                      <w:marTop w:val="0"/>
                                      <w:marBottom w:val="0"/>
                                      <w:divBdr>
                                        <w:top w:val="none" w:sz="0" w:space="0" w:color="auto"/>
                                        <w:left w:val="none" w:sz="0" w:space="0" w:color="auto"/>
                                        <w:bottom w:val="none" w:sz="0" w:space="0" w:color="auto"/>
                                        <w:right w:val="none" w:sz="0" w:space="0" w:color="auto"/>
                                      </w:divBdr>
                                      <w:divsChild>
                                        <w:div w:id="1574779258">
                                          <w:marLeft w:val="0"/>
                                          <w:marRight w:val="0"/>
                                          <w:marTop w:val="0"/>
                                          <w:marBottom w:val="0"/>
                                          <w:divBdr>
                                            <w:top w:val="none" w:sz="0" w:space="0" w:color="auto"/>
                                            <w:left w:val="none" w:sz="0" w:space="0" w:color="auto"/>
                                            <w:bottom w:val="none" w:sz="0" w:space="0" w:color="auto"/>
                                            <w:right w:val="none" w:sz="0" w:space="0" w:color="auto"/>
                                          </w:divBdr>
                                        </w:div>
                                        <w:div w:id="213020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35262">
                                  <w:marLeft w:val="0"/>
                                  <w:marRight w:val="0"/>
                                  <w:marTop w:val="0"/>
                                  <w:marBottom w:val="0"/>
                                  <w:divBdr>
                                    <w:top w:val="none" w:sz="0" w:space="0" w:color="auto"/>
                                    <w:left w:val="none" w:sz="0" w:space="0" w:color="auto"/>
                                    <w:bottom w:val="none" w:sz="0" w:space="0" w:color="auto"/>
                                    <w:right w:val="none" w:sz="0" w:space="0" w:color="auto"/>
                                  </w:divBdr>
                                  <w:divsChild>
                                    <w:div w:id="782188625">
                                      <w:marLeft w:val="0"/>
                                      <w:marRight w:val="0"/>
                                      <w:marTop w:val="0"/>
                                      <w:marBottom w:val="0"/>
                                      <w:divBdr>
                                        <w:top w:val="none" w:sz="0" w:space="0" w:color="auto"/>
                                        <w:left w:val="none" w:sz="0" w:space="0" w:color="auto"/>
                                        <w:bottom w:val="none" w:sz="0" w:space="0" w:color="auto"/>
                                        <w:right w:val="none" w:sz="0" w:space="0" w:color="auto"/>
                                      </w:divBdr>
                                      <w:divsChild>
                                        <w:div w:id="799958357">
                                          <w:marLeft w:val="0"/>
                                          <w:marRight w:val="0"/>
                                          <w:marTop w:val="0"/>
                                          <w:marBottom w:val="0"/>
                                          <w:divBdr>
                                            <w:top w:val="none" w:sz="0" w:space="0" w:color="auto"/>
                                            <w:left w:val="none" w:sz="0" w:space="0" w:color="auto"/>
                                            <w:bottom w:val="none" w:sz="0" w:space="0" w:color="auto"/>
                                            <w:right w:val="none" w:sz="0" w:space="0" w:color="auto"/>
                                          </w:divBdr>
                                        </w:div>
                                        <w:div w:id="115391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551282">
                                  <w:marLeft w:val="0"/>
                                  <w:marRight w:val="0"/>
                                  <w:marTop w:val="0"/>
                                  <w:marBottom w:val="0"/>
                                  <w:divBdr>
                                    <w:top w:val="none" w:sz="0" w:space="0" w:color="auto"/>
                                    <w:left w:val="none" w:sz="0" w:space="0" w:color="auto"/>
                                    <w:bottom w:val="none" w:sz="0" w:space="0" w:color="auto"/>
                                    <w:right w:val="none" w:sz="0" w:space="0" w:color="auto"/>
                                  </w:divBdr>
                                  <w:divsChild>
                                    <w:div w:id="482745327">
                                      <w:marLeft w:val="0"/>
                                      <w:marRight w:val="0"/>
                                      <w:marTop w:val="0"/>
                                      <w:marBottom w:val="0"/>
                                      <w:divBdr>
                                        <w:top w:val="none" w:sz="0" w:space="0" w:color="auto"/>
                                        <w:left w:val="none" w:sz="0" w:space="0" w:color="auto"/>
                                        <w:bottom w:val="none" w:sz="0" w:space="0" w:color="auto"/>
                                        <w:right w:val="none" w:sz="0" w:space="0" w:color="auto"/>
                                      </w:divBdr>
                                      <w:divsChild>
                                        <w:div w:id="79300886">
                                          <w:marLeft w:val="0"/>
                                          <w:marRight w:val="0"/>
                                          <w:marTop w:val="0"/>
                                          <w:marBottom w:val="0"/>
                                          <w:divBdr>
                                            <w:top w:val="none" w:sz="0" w:space="0" w:color="auto"/>
                                            <w:left w:val="none" w:sz="0" w:space="0" w:color="auto"/>
                                            <w:bottom w:val="none" w:sz="0" w:space="0" w:color="auto"/>
                                            <w:right w:val="none" w:sz="0" w:space="0" w:color="auto"/>
                                          </w:divBdr>
                                        </w:div>
                                        <w:div w:id="124029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26808">
                                  <w:marLeft w:val="0"/>
                                  <w:marRight w:val="0"/>
                                  <w:marTop w:val="0"/>
                                  <w:marBottom w:val="0"/>
                                  <w:divBdr>
                                    <w:top w:val="none" w:sz="0" w:space="0" w:color="auto"/>
                                    <w:left w:val="none" w:sz="0" w:space="0" w:color="auto"/>
                                    <w:bottom w:val="none" w:sz="0" w:space="0" w:color="auto"/>
                                    <w:right w:val="none" w:sz="0" w:space="0" w:color="auto"/>
                                  </w:divBdr>
                                  <w:divsChild>
                                    <w:div w:id="2079093098">
                                      <w:marLeft w:val="0"/>
                                      <w:marRight w:val="0"/>
                                      <w:marTop w:val="0"/>
                                      <w:marBottom w:val="0"/>
                                      <w:divBdr>
                                        <w:top w:val="none" w:sz="0" w:space="0" w:color="auto"/>
                                        <w:left w:val="none" w:sz="0" w:space="0" w:color="auto"/>
                                        <w:bottom w:val="none" w:sz="0" w:space="0" w:color="auto"/>
                                        <w:right w:val="none" w:sz="0" w:space="0" w:color="auto"/>
                                      </w:divBdr>
                                      <w:divsChild>
                                        <w:div w:id="2084570147">
                                          <w:marLeft w:val="0"/>
                                          <w:marRight w:val="0"/>
                                          <w:marTop w:val="0"/>
                                          <w:marBottom w:val="0"/>
                                          <w:divBdr>
                                            <w:top w:val="none" w:sz="0" w:space="0" w:color="auto"/>
                                            <w:left w:val="none" w:sz="0" w:space="0" w:color="auto"/>
                                            <w:bottom w:val="none" w:sz="0" w:space="0" w:color="auto"/>
                                            <w:right w:val="none" w:sz="0" w:space="0" w:color="auto"/>
                                          </w:divBdr>
                                        </w:div>
                                        <w:div w:id="97557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456238">
                                  <w:marLeft w:val="0"/>
                                  <w:marRight w:val="0"/>
                                  <w:marTop w:val="0"/>
                                  <w:marBottom w:val="0"/>
                                  <w:divBdr>
                                    <w:top w:val="none" w:sz="0" w:space="0" w:color="auto"/>
                                    <w:left w:val="none" w:sz="0" w:space="0" w:color="auto"/>
                                    <w:bottom w:val="none" w:sz="0" w:space="0" w:color="auto"/>
                                    <w:right w:val="none" w:sz="0" w:space="0" w:color="auto"/>
                                  </w:divBdr>
                                  <w:divsChild>
                                    <w:div w:id="1154486598">
                                      <w:marLeft w:val="0"/>
                                      <w:marRight w:val="0"/>
                                      <w:marTop w:val="0"/>
                                      <w:marBottom w:val="0"/>
                                      <w:divBdr>
                                        <w:top w:val="none" w:sz="0" w:space="0" w:color="auto"/>
                                        <w:left w:val="none" w:sz="0" w:space="0" w:color="auto"/>
                                        <w:bottom w:val="none" w:sz="0" w:space="0" w:color="auto"/>
                                        <w:right w:val="none" w:sz="0" w:space="0" w:color="auto"/>
                                      </w:divBdr>
                                      <w:divsChild>
                                        <w:div w:id="119038485">
                                          <w:marLeft w:val="0"/>
                                          <w:marRight w:val="0"/>
                                          <w:marTop w:val="0"/>
                                          <w:marBottom w:val="0"/>
                                          <w:divBdr>
                                            <w:top w:val="none" w:sz="0" w:space="0" w:color="auto"/>
                                            <w:left w:val="none" w:sz="0" w:space="0" w:color="auto"/>
                                            <w:bottom w:val="none" w:sz="0" w:space="0" w:color="auto"/>
                                            <w:right w:val="none" w:sz="0" w:space="0" w:color="auto"/>
                                          </w:divBdr>
                                        </w:div>
                                        <w:div w:id="155276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7048638">
                  <w:marLeft w:val="0"/>
                  <w:marRight w:val="0"/>
                  <w:marTop w:val="0"/>
                  <w:marBottom w:val="0"/>
                  <w:divBdr>
                    <w:top w:val="none" w:sz="0" w:space="0" w:color="auto"/>
                    <w:left w:val="none" w:sz="0" w:space="0" w:color="auto"/>
                    <w:bottom w:val="none" w:sz="0" w:space="0" w:color="auto"/>
                    <w:right w:val="none" w:sz="0" w:space="0" w:color="auto"/>
                  </w:divBdr>
                  <w:divsChild>
                    <w:div w:id="1932008100">
                      <w:marLeft w:val="0"/>
                      <w:marRight w:val="0"/>
                      <w:marTop w:val="0"/>
                      <w:marBottom w:val="0"/>
                      <w:divBdr>
                        <w:top w:val="none" w:sz="0" w:space="0" w:color="auto"/>
                        <w:left w:val="none" w:sz="0" w:space="0" w:color="auto"/>
                        <w:bottom w:val="none" w:sz="0" w:space="0" w:color="auto"/>
                        <w:right w:val="none" w:sz="0" w:space="0" w:color="auto"/>
                      </w:divBdr>
                      <w:divsChild>
                        <w:div w:id="1046485660">
                          <w:marLeft w:val="0"/>
                          <w:marRight w:val="0"/>
                          <w:marTop w:val="120"/>
                          <w:marBottom w:val="120"/>
                          <w:divBdr>
                            <w:top w:val="none" w:sz="0" w:space="0" w:color="auto"/>
                            <w:left w:val="none" w:sz="0" w:space="0" w:color="auto"/>
                            <w:bottom w:val="none" w:sz="0" w:space="0" w:color="auto"/>
                            <w:right w:val="none" w:sz="0" w:space="0" w:color="auto"/>
                          </w:divBdr>
                          <w:divsChild>
                            <w:div w:id="1234974369">
                              <w:marLeft w:val="0"/>
                              <w:marRight w:val="0"/>
                              <w:marTop w:val="0"/>
                              <w:marBottom w:val="0"/>
                              <w:divBdr>
                                <w:top w:val="none" w:sz="0" w:space="0" w:color="auto"/>
                                <w:left w:val="none" w:sz="0" w:space="0" w:color="auto"/>
                                <w:bottom w:val="none" w:sz="0" w:space="0" w:color="auto"/>
                                <w:right w:val="none" w:sz="0" w:space="0" w:color="auto"/>
                              </w:divBdr>
                              <w:divsChild>
                                <w:div w:id="75789896">
                                  <w:marLeft w:val="0"/>
                                  <w:marRight w:val="0"/>
                                  <w:marTop w:val="0"/>
                                  <w:marBottom w:val="0"/>
                                  <w:divBdr>
                                    <w:top w:val="none" w:sz="0" w:space="0" w:color="auto"/>
                                    <w:left w:val="none" w:sz="0" w:space="0" w:color="auto"/>
                                    <w:bottom w:val="none" w:sz="0" w:space="0" w:color="auto"/>
                                    <w:right w:val="none" w:sz="0" w:space="0" w:color="auto"/>
                                  </w:divBdr>
                                </w:div>
                              </w:divsChild>
                            </w:div>
                            <w:div w:id="1517889167">
                              <w:marLeft w:val="0"/>
                              <w:marRight w:val="0"/>
                              <w:marTop w:val="0"/>
                              <w:marBottom w:val="0"/>
                              <w:divBdr>
                                <w:top w:val="none" w:sz="0" w:space="0" w:color="auto"/>
                                <w:left w:val="none" w:sz="0" w:space="0" w:color="auto"/>
                                <w:bottom w:val="none" w:sz="0" w:space="0" w:color="auto"/>
                                <w:right w:val="none" w:sz="0" w:space="0" w:color="auto"/>
                              </w:divBdr>
                              <w:divsChild>
                                <w:div w:id="120070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municode.com/" TargetMode="External"/><Relationship Id="rId13" Type="http://schemas.openxmlformats.org/officeDocument/2006/relationships/hyperlink" Target="https://library.municode.com/ar/fayetteville/ordinances/code_of_ordinances?nodeId=86395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brary.municode.com/" TargetMode="External"/><Relationship Id="rId12" Type="http://schemas.openxmlformats.org/officeDocument/2006/relationships/hyperlink" Target="https://library.municode.com/ar/fayetteville/ordinances/code_of_ordinances?nodeId=81303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ibrary.municode.com/ar/fayetteville/ordinances/code_of_ordinances?nodeId=1082384" TargetMode="External"/><Relationship Id="rId1" Type="http://schemas.openxmlformats.org/officeDocument/2006/relationships/numbering" Target="numbering.xml"/><Relationship Id="rId6" Type="http://schemas.openxmlformats.org/officeDocument/2006/relationships/hyperlink" Target="https://library.municode.com/" TargetMode="External"/><Relationship Id="rId11" Type="http://schemas.openxmlformats.org/officeDocument/2006/relationships/hyperlink" Target="https://library.municode.com/ar/fayetteville/ordinances/code_of_ordinances?nodeId=798384" TargetMode="External"/><Relationship Id="rId5" Type="http://schemas.openxmlformats.org/officeDocument/2006/relationships/hyperlink" Target="https://library.municode.com/" TargetMode="External"/><Relationship Id="rId15" Type="http://schemas.openxmlformats.org/officeDocument/2006/relationships/hyperlink" Target="https://library.municode.com/ar/fayetteville/ordinances/code_of_ordinances?nodeId=1082384" TargetMode="External"/><Relationship Id="rId10" Type="http://schemas.openxmlformats.org/officeDocument/2006/relationships/hyperlink" Target="https://library.municode.com/ar/fayetteville/ordinances/code_of_ordinances?nodeId=749984" TargetMode="External"/><Relationship Id="rId4" Type="http://schemas.openxmlformats.org/officeDocument/2006/relationships/webSettings" Target="webSettings.xml"/><Relationship Id="rId9" Type="http://schemas.openxmlformats.org/officeDocument/2006/relationships/hyperlink" Target="https://library.municode.com/" TargetMode="External"/><Relationship Id="rId14" Type="http://schemas.openxmlformats.org/officeDocument/2006/relationships/hyperlink" Target="https://library.municode.com/ar/fayetteville/ordinances/code_of_ordinances?nodeId=9769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710</Words>
  <Characters>4051</Characters>
  <Application>Microsoft Office Word</Application>
  <DocSecurity>0</DocSecurity>
  <Lines>33</Lines>
  <Paragraphs>9</Paragraphs>
  <ScaleCrop>false</ScaleCrop>
  <Company/>
  <LinksUpToDate>false</LinksUpToDate>
  <CharactersWithSpaces>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Faucette</dc:creator>
  <cp:keywords/>
  <dc:description/>
  <cp:lastModifiedBy>George Faucette</cp:lastModifiedBy>
  <cp:revision>2</cp:revision>
  <dcterms:created xsi:type="dcterms:W3CDTF">2026-07-08T19:48:00Z</dcterms:created>
  <dcterms:modified xsi:type="dcterms:W3CDTF">2026-07-08T19:48:00Z</dcterms:modified>
</cp:coreProperties>
</file>