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b/>
          <w:color w:val="213452"/>
          <w:sz w:val="32"/>
        </w:rPr>
        <w:t>St. Andrew’s Episcopal Church, Waterville, Minnesota</w:t>
        <w:br/>
        <w:t>Rebuilt Working Broker Price Opinion</w:t>
      </w:r>
      <w:r>
        <w:rPr>
          <w:i/>
          <w:sz w:val="18"/>
        </w:rPr>
        <w:br/>
        <w:t>Prepared from prior ECMN working assumptions and publicly available reference points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5184"/>
          </w:tcPr>
          <w:p>
            <w:r>
              <w:drawing>
                <wp:inline xmlns:a="http://schemas.openxmlformats.org/drawingml/2006/main" xmlns:pic="http://schemas.openxmlformats.org/drawingml/2006/picture">
                  <wp:extent cx="2926080" cy="19446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t_andrews_ext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080" cy="19446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84"/>
          </w:tcPr>
          <w:p>
            <w:r>
              <w:rPr>
                <w:b/>
                <w:sz w:val="20"/>
              </w:rPr>
              <w:t xml:space="preserve">Working address: </w:t>
            </w:r>
            <w:r>
              <w:rPr>
                <w:sz w:val="20"/>
              </w:rPr>
              <w:t>Public sources show 208–210 W Lake St, Waterville, MN 56096; buyer to verify legal/site address.</w:t>
            </w:r>
          </w:p>
          <w:p>
            <w:r>
              <w:rPr>
                <w:b/>
                <w:sz w:val="20"/>
              </w:rPr>
              <w:t xml:space="preserve">Property type: </w:t>
            </w:r>
            <w:r>
              <w:rPr>
                <w:sz w:val="20"/>
              </w:rPr>
              <w:t>Small historic church / assembly building</w:t>
            </w:r>
          </w:p>
          <w:p>
            <w:r>
              <w:rPr>
                <w:b/>
                <w:sz w:val="20"/>
              </w:rPr>
              <w:t xml:space="preserve">Estimated size: </w:t>
            </w:r>
            <w:r>
              <w:rPr>
                <w:sz w:val="20"/>
              </w:rPr>
              <w:t>Approx. 1,500–2,500 SF (working assumption)</w:t>
            </w:r>
          </w:p>
          <w:p>
            <w:r>
              <w:rPr>
                <w:b/>
                <w:sz w:val="20"/>
              </w:rPr>
              <w:t xml:space="preserve">Estimated site: </w:t>
            </w:r>
            <w:r>
              <w:rPr>
                <w:sz w:val="20"/>
              </w:rPr>
              <w:t>Approx. 1–2 acres (working assumption; confirm by survey/GIS)</w:t>
            </w:r>
          </w:p>
          <w:p>
            <w:r>
              <w:rPr>
                <w:b/>
                <w:sz w:val="20"/>
              </w:rPr>
              <w:t xml:space="preserve">Current positioning: </w:t>
            </w:r>
            <w:r>
              <w:rPr>
                <w:sz w:val="20"/>
              </w:rPr>
              <w:t>As-is church / nonprofit / adaptive reuse opportunity</w:t>
            </w:r>
          </w:p>
          <w:p>
            <w:r>
              <w:rPr>
                <w:b/>
                <w:sz w:val="20"/>
              </w:rPr>
              <w:t xml:space="preserve">Windows: </w:t>
            </w:r>
            <w:r>
              <w:rPr>
                <w:sz w:val="20"/>
              </w:rPr>
              <w:t>Working estimate about $15,000 total unless later authentication or appraisal proves otherwise.</w:t>
            </w:r>
          </w:p>
        </w:tc>
      </w:tr>
    </w:tbl>
    <w:p/>
    <w:p>
      <w:r>
        <w:rPr>
          <w:b/>
          <w:color w:val="213452"/>
          <w:sz w:val="26"/>
        </w:rPr>
        <w:t>Executive Summary</w:t>
      </w:r>
    </w:p>
    <w:p>
      <w:pPr>
        <w:spacing w:after="120"/>
      </w:pPr>
      <w:r>
        <w:t>This rebuilt BPO treats St. Andrew’s as a thin-market church property where land value, character, and adaptive-reuse potential matter as much as the building itself. The most realistic near-term buyer is a local or regional user: congregation, nonprofit, community group, studio/event operator, or small mission-driven business.</w:t>
      </w:r>
    </w:p>
    <w:p>
      <w:pPr>
        <w:spacing w:after="120"/>
      </w:pPr>
      <w:r>
        <w:t>Based on prior ECMN working assumptions, a reasonable list-price target is $265,000 to $295,000, with the most likely negotiated sale outcome in the mid-$200,000s, roughly $235,000 to $265,000. A more conservative building-only read, if acreage or reuse utility prove weaker than expected, would support roughly $169,000 to $175,000 list guidance.</w:t>
      </w:r>
    </w:p>
    <w:p>
      <w:pPr>
        <w:spacing w:after="120"/>
      </w:pPr>
      <w:r>
        <w:t>The right story is not “historic church only.” The right story is “small-town landmark property with flexible community, creative, and nonprofit reuse potential.”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5184"/>
            <w:shd w:fill="213452"/>
            <w:vAlign w:val="center"/>
          </w:tcPr>
          <w:p>
            <w:r/>
            <w:r>
              <w:rPr>
                <w:b/>
                <w:color w:val="FFFFFF"/>
                <w:sz w:val="20"/>
              </w:rPr>
              <w:t>Conclusion</w:t>
            </w:r>
          </w:p>
        </w:tc>
        <w:tc>
          <w:tcPr>
            <w:tcW w:type="dxa" w:w="5184"/>
            <w:shd w:fill="213452"/>
            <w:vAlign w:val="center"/>
          </w:tcPr>
          <w:p>
            <w:r/>
            <w:r>
              <w:rPr>
                <w:b/>
                <w:color w:val="FFFFFF"/>
                <w:sz w:val="20"/>
              </w:rPr>
              <w:t>Working value guidance</w:t>
            </w:r>
          </w:p>
        </w:tc>
      </w:tr>
      <w:tr>
        <w:tc>
          <w:tcPr>
            <w:tcW w:type="dxa" w:w="5184"/>
            <w:shd w:fill="F6F8FB"/>
            <w:vAlign w:val="center"/>
          </w:tcPr>
          <w:p>
            <w:r/>
            <w:r>
              <w:rPr>
                <w:b/>
                <w:sz w:val="20"/>
              </w:rPr>
              <w:t>Suggested list</w:t>
            </w:r>
          </w:p>
        </w:tc>
        <w:tc>
          <w:tcPr>
            <w:tcW w:type="dxa" w:w="5184"/>
            <w:shd w:fill="F6F8FB"/>
            <w:vAlign w:val="center"/>
          </w:tcPr>
          <w:p>
            <w:r/>
            <w:r>
              <w:rPr>
                <w:b w:val="0"/>
                <w:sz w:val="20"/>
              </w:rPr>
              <w:t>$265,000–$295,000</w:t>
            </w:r>
          </w:p>
        </w:tc>
      </w:tr>
      <w:tr>
        <w:tc>
          <w:tcPr>
            <w:tcW w:type="dxa" w:w="5184"/>
            <w:shd w:fill="F6F8FB"/>
            <w:vAlign w:val="center"/>
          </w:tcPr>
          <w:p>
            <w:r/>
            <w:r>
              <w:rPr>
                <w:b/>
                <w:sz w:val="20"/>
              </w:rPr>
              <w:t>Likely sale range</w:t>
            </w:r>
          </w:p>
        </w:tc>
        <w:tc>
          <w:tcPr>
            <w:tcW w:type="dxa" w:w="5184"/>
            <w:shd w:fill="F6F8FB"/>
            <w:vAlign w:val="center"/>
          </w:tcPr>
          <w:p>
            <w:r/>
            <w:r>
              <w:rPr>
                <w:b w:val="0"/>
                <w:sz w:val="20"/>
              </w:rPr>
              <w:t>$235,000–$265,000</w:t>
            </w:r>
          </w:p>
        </w:tc>
      </w:tr>
      <w:tr>
        <w:tc>
          <w:tcPr>
            <w:tcW w:type="dxa" w:w="5184"/>
            <w:shd w:fill="F6F8FB"/>
            <w:vAlign w:val="center"/>
          </w:tcPr>
          <w:p>
            <w:r/>
            <w:r>
              <w:rPr>
                <w:b/>
                <w:sz w:val="20"/>
              </w:rPr>
              <w:t>Conservative fallback</w:t>
            </w:r>
          </w:p>
        </w:tc>
        <w:tc>
          <w:tcPr>
            <w:tcW w:type="dxa" w:w="5184"/>
            <w:shd w:fill="F6F8FB"/>
            <w:vAlign w:val="center"/>
          </w:tcPr>
          <w:p>
            <w:r/>
            <w:r>
              <w:rPr>
                <w:b w:val="0"/>
                <w:sz w:val="20"/>
              </w:rPr>
              <w:t>$169,000–$175,000 list if land contribution or reuse utility prove materially weaker than expected</w:t>
            </w:r>
          </w:p>
        </w:tc>
      </w:tr>
    </w:tbl>
    <w:p/>
    <w:p>
      <w:r>
        <w:rPr>
          <w:b/>
          <w:color w:val="213452"/>
          <w:sz w:val="26"/>
        </w:rPr>
        <w:t>Why this range makes sense</w:t>
      </w:r>
    </w:p>
    <w:p>
      <w:pPr>
        <w:pStyle w:val="ListBullet"/>
        <w:spacing w:after="0"/>
      </w:pPr>
      <w:r>
        <w:t>Waterville is a small, low-density market with a limited buyer pool for assembly properties.</w:t>
      </w:r>
    </w:p>
    <w:p>
      <w:pPr>
        <w:pStyle w:val="ListBullet"/>
        <w:spacing w:after="0"/>
      </w:pPr>
      <w:r>
        <w:t>Church architecture narrows the field of purely conventional buyers, but its character can widen appeal to niche users.</w:t>
      </w:r>
    </w:p>
    <w:p>
      <w:pPr>
        <w:pStyle w:val="ListBullet"/>
        <w:spacing w:after="0"/>
      </w:pPr>
      <w:r>
        <w:t>The site likely carries meaningful land value even if the building needs selective reinvestment.</w:t>
      </w:r>
    </w:p>
    <w:p>
      <w:pPr>
        <w:pStyle w:val="ListBullet"/>
        <w:spacing w:after="0"/>
      </w:pPr>
      <w:r>
        <w:t>Adaptive-reuse potential is the value bridge: community hall, studio, chapel, small event use, nonprofit office, or mission-oriented commercial use.</w:t>
      </w:r>
    </w:p>
    <w:p>
      <w:pPr>
        <w:pStyle w:val="ListBullet"/>
        <w:spacing w:after="0"/>
      </w:pPr>
      <w:r>
        <w:t>The stained-glass windows may hold separate value, but they should not be heavily loaded into the real-estate price until independently documented and appraised.</w:t>
      </w:r>
    </w:p>
    <w:p>
      <w:r>
        <w:rPr>
          <w:b/>
          <w:color w:val="213452"/>
          <w:sz w:val="26"/>
        </w:rPr>
        <w:t>Highest and best use / marketing posture</w:t>
      </w:r>
    </w:p>
    <w:p>
      <w:r>
        <w:t>Primary positioning: market as a landmark church property suitable for local worship, community, nonprofit, or creative adaptive reuse.</w:t>
      </w:r>
    </w:p>
    <w:p>
      <w:r>
        <w:t>Secondary positioning: emphasize land + shell value to buyers who want a small-town venue, studio, or mission-driven redevelopment play.</w:t>
      </w:r>
    </w:p>
    <w:p>
      <w:r>
        <w:t>Do not oversell it as a conventional commercial asset. It is a niche property, and the marketing should be honest, visual, and targeted.</w:t>
      </w:r>
    </w:p>
    <w:p>
      <w:r>
        <w:rPr>
          <w:b/>
          <w:color w:val="213452"/>
          <w:sz w:val="26"/>
        </w:rPr>
        <w:t>Key assumptions / buyer-to-verify items</w:t>
      </w:r>
    </w:p>
    <w:p>
      <w:pPr>
        <w:pStyle w:val="ListBullet"/>
      </w:pPr>
      <w:r>
        <w:t>Exact parcel acreage, legal description, zoning, taxes, and assessment data were not rebuilt from a current county parcel sheet and should be verified before launch.</w:t>
      </w:r>
    </w:p>
    <w:p>
      <w:pPr>
        <w:pStyle w:val="ListBullet"/>
      </w:pPr>
      <w:r>
        <w:t>Estimated building size and lot size above are working assumptions carried from prior ECMN analysis.</w:t>
      </w:r>
    </w:p>
    <w:p>
      <w:pPr>
        <w:pStyle w:val="ListBullet"/>
      </w:pPr>
      <w:r>
        <w:t>Roof, structure, mechanicals, electrical, ADA, and environmental condition should be documented before final list pricing.</w:t>
      </w:r>
    </w:p>
    <w:p>
      <w:pPr>
        <w:pStyle w:val="ListBullet"/>
      </w:pPr>
      <w:r>
        <w:t>Public web references show the church address as both 208 W Lake St and 210 W Lake St; confirm the exact legal mailing/site address before MLS entry.</w:t>
      </w:r>
    </w:p>
    <w:p>
      <w:r>
        <w:rPr>
          <w:b/>
          <w:color w:val="213452"/>
          <w:sz w:val="26"/>
        </w:rPr>
        <w:t>Recommended launch plan</w:t>
      </w:r>
    </w:p>
    <w:p>
      <w:pPr>
        <w:pStyle w:val="ListNumber"/>
      </w:pPr>
      <w:r>
        <w:t>Confirm parcel basics and prepare a clean property packet.</w:t>
      </w:r>
    </w:p>
    <w:p>
      <w:pPr>
        <w:pStyle w:val="ListNumber"/>
      </w:pPr>
      <w:r>
        <w:t>Use strong photography and adaptive-reuse language, not just church language.</w:t>
      </w:r>
    </w:p>
    <w:p>
      <w:pPr>
        <w:pStyle w:val="ListNumber"/>
      </w:pPr>
      <w:r>
        <w:t>Reach local and regional buyers directly: congregations, nonprofits, event users, studio users, and community organizations.</w:t>
      </w:r>
    </w:p>
    <w:p>
      <w:pPr>
        <w:pStyle w:val="ListNumber"/>
      </w:pPr>
      <w:r>
        <w:t>Offer buyer flexibility on timing and ordinary diligence, but keep pricing disciplined.</w:t>
      </w:r>
    </w:p>
    <w:p>
      <w:r>
        <w:rPr>
          <w:b/>
          <w:sz w:val="18"/>
        </w:rPr>
        <w:t xml:space="preserve">Source note: </w:t>
      </w:r>
      <w:r>
        <w:rPr>
          <w:sz w:val="18"/>
        </w:rPr>
        <w:t>This rebuilt BPO relies on prior ECMN working assumptions developed for St. Andrew’s, plus public reference points confirming the church’s existence, history, and public-facing address. It is intended as practical pricing guidance, not a formal appraisal.</w:t>
      </w:r>
    </w:p>
    <w:sectPr w:rsidR="00FC693F" w:rsidRPr="0006063C" w:rsidSect="00034616">
      <w:pgSz w:w="12240" w:h="15840"/>
      <w:pgMar w:top="864" w:right="936" w:bottom="864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 w:eastAsia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