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4.xml" ContentType="application/vnd.openxmlformats-officedocument.wordprocessingml.footer+xml"/>
  <Override PartName="/word/footer6.xml" ContentType="application/vnd.openxmlformats-officedocument.wordprocessingml.footer+xml"/>
  <Override PartName="/word/footer8.xml" ContentType="application/vnd.openxmlformats-officedocument.wordprocessingml.footer+xml"/>
  <Override PartName="/word/footer10.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Override PartName="/word/header9.xml" ContentType="application/vnd.openxmlformats-officedocument.wordprocessingml.header+xml"/>
  <Override PartName="/word/header11.xml" ContentType="application/vnd.openxmlformats-officedocument.wordprocessingml.header+xml"/>
  <Override PartName="/word/header13.xml" ContentType="application/vnd.openxmlformats-officedocument.wordprocessingml.head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Heading4"/>
        <w:pBdr/>
        <w:spacing/>
        <w:rPr/>
      </w:pPr>
      <w:r>
        <w:rPr>
          <w:b/>
        </w:rPr>
        <w:t xml:space="preserve">CHAPTER 9-11.</w:t>
      </w:r>
      <w:r>
        <w:rPr/>
        <w:t xml:space="preserve"> </w:t>
      </w:r>
      <w:r>
        <w:rPr>
          <w:b/>
        </w:rPr>
        <w:t xml:space="preserve">EMPLOYMENT-OFFICE, EMPLOYMENT-INDUSTRIAL, AND INDUSTRIAL (E, I) DISTRICTS</w:t>
      </w:r>
    </w:p>
    <w:p>
      <w:pPr>
        <w:pBdr/>
        <w:spacing w:before="0" w:after="0"/>
        <w:rPr/>
        <w:sectPr>
          <w:headerReference w:type="default" r:id="rId1"/>
          <w:footerReference w:type="default" r:id="rId2"/>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9-11-1.</w:t>
      </w:r>
      <w:r>
        <w:rPr/>
        <w:t xml:space="preserve"> </w:t>
      </w:r>
      <w:r>
        <w:rPr/>
        <w:t xml:space="preserve">Purpose.</w:t>
      </w:r>
    </w:p>
    <w:p>
      <w:pPr>
        <w:pStyle w:val="Paragraph1"/>
        <w:pBdr/>
        <w:spacing/>
        <w:rPr/>
      </w:pPr>
      <w:r>
        <w:rPr>
          <w:rStyle w:val="Paragraph1"/>
        </w:rPr>
        <w:t xml:space="preserve">The purpose of this district is to provide for a variety of uses such as office or manufacturing in an aesthetic environment and having a minimal impact on surrounding uses. </w:t>
      </w:r>
    </w:p>
    <w:p>
      <w:pPr>
        <w:pStyle w:val="HistoryNote"/>
        <w:pBdr/>
        <w:spacing/>
        <w:rPr/>
      </w:pPr>
      <w:r>
        <w:rPr>
          <w:rStyle w:val="HistoryNote"/>
        </w:rPr>
        <w:t xml:space="preserve">(Ord. of 12-5-2000, § 1)</w:t>
      </w:r>
    </w:p>
    <w:p>
      <w:pPr>
        <w:pBdr/>
        <w:spacing w:before="0" w:after="0"/>
        <w:rPr/>
        <w:sectPr>
          <w:headerReference w:type="default" r:id="rId3"/>
          <w:footerReference w:type="default" r:id="rId4"/>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9-11-2.</w:t>
      </w:r>
      <w:r>
        <w:rPr/>
        <w:t xml:space="preserve"> </w:t>
      </w:r>
      <w:r>
        <w:rPr/>
        <w:t xml:space="preserve">Permitted uses.</w:t>
      </w:r>
    </w:p>
    <w:p>
      <w:pPr>
        <w:pStyle w:val="Paragraph1"/>
        <w:pBdr/>
        <w:spacing/>
        <w:rPr/>
      </w:pPr>
      <w:r>
        <w:rPr>
          <w:rStyle w:val="Paragraph1"/>
        </w:rPr>
        <w:t xml:space="preserve">The following uses and their accessory uses are permitted as follows in these districts: </w:t>
      </w:r>
    </w:p>
    <w:tbl>
      <w:tblPr>
        <w:tblStyle w:val="Table1_3624d328-3c59-48c5-81dd-49d11ebe9d39"/>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4789"/>
        <w:gridCol w:w="1596"/>
        <w:gridCol w:w="1595"/>
        <w:gridCol w:w="1596"/>
      </w:tblGrid>
      <w:tr>
        <w:trPr/>
        <w:tc>
          <w:tcPr>
            <w:tcW w:type="pct" w:w="2500"/>
            <w:tcBorders/>
          </w:tcPr>
          <w:p>
            <w:pPr>
              <w:pBdr/>
              <w:spacing/>
              <w:jc w:val="left"/>
              <w:rPr/>
            </w:pPr>
            <w:r>
              <w:rPr>
                <w:sz w:val="22"/>
              </w:rPr>
              <w:t xml:space="preserve">Zoning Categories </w:t>
            </w:r>
          </w:p>
        </w:tc>
        <w:tc>
          <w:tcPr>
            <w:tcW w:type="pct" w:w="833"/>
            <w:tcBorders/>
          </w:tcPr>
          <w:p>
            <w:pPr>
              <w:pBdr/>
              <w:spacing/>
              <w:jc w:val="left"/>
              <w:rPr/>
            </w:pPr>
            <w:r>
              <w:rPr>
                <w:sz w:val="22"/>
              </w:rPr>
              <w:t xml:space="preserve">E-O </w:t>
            </w:r>
            <w:r>
              <w:rPr>
                <w:sz w:val="22"/>
              </w:rPr>
              <w:br/>
            </w:r>
            <w:r>
              <w:rPr>
                <w:sz w:val="22"/>
              </w:rPr>
              <w:t xml:space="preserve">Employment </w:t>
            </w:r>
            <w:r>
              <w:rPr>
                <w:sz w:val="22"/>
              </w:rPr>
              <w:br/>
            </w:r>
            <w:r>
              <w:rPr>
                <w:sz w:val="22"/>
              </w:rPr>
              <w:t xml:space="preserve">Office </w:t>
            </w:r>
          </w:p>
        </w:tc>
        <w:tc>
          <w:tcPr>
            <w:tcW w:type="pct" w:w="833"/>
            <w:tcBorders/>
          </w:tcPr>
          <w:p>
            <w:pPr>
              <w:pBdr/>
              <w:spacing/>
              <w:jc w:val="left"/>
              <w:rPr/>
            </w:pPr>
            <w:r>
              <w:rPr>
                <w:sz w:val="22"/>
              </w:rPr>
              <w:t xml:space="preserve">E-I </w:t>
            </w:r>
            <w:r>
              <w:rPr>
                <w:sz w:val="22"/>
              </w:rPr>
              <w:br/>
            </w:r>
            <w:r>
              <w:rPr>
                <w:sz w:val="22"/>
              </w:rPr>
              <w:t xml:space="preserve">Employment </w:t>
            </w:r>
            <w:r>
              <w:rPr>
                <w:sz w:val="22"/>
              </w:rPr>
              <w:br/>
            </w:r>
            <w:r>
              <w:rPr>
                <w:sz w:val="22"/>
              </w:rPr>
              <w:t xml:space="preserve">Industrial </w:t>
            </w:r>
          </w:p>
        </w:tc>
        <w:tc>
          <w:tcPr>
            <w:tcW w:type="pct" w:w="833"/>
            <w:tcBorders/>
          </w:tcPr>
          <w:p>
            <w:pPr>
              <w:pBdr/>
              <w:spacing/>
              <w:jc w:val="left"/>
              <w:rPr/>
            </w:pPr>
            <w:r>
              <w:rPr>
                <w:sz w:val="22"/>
              </w:rPr>
              <w:t xml:space="preserve">I </w:t>
            </w:r>
            <w:r>
              <w:rPr>
                <w:sz w:val="22"/>
              </w:rPr>
              <w:br/>
            </w:r>
            <w:r>
              <w:rPr>
                <w:sz w:val="22"/>
              </w:rPr>
              <w:t xml:space="preserve">Industrial </w:t>
            </w:r>
          </w:p>
        </w:tc>
      </w:tr>
      <w:tr>
        <w:trPr/>
        <w:tc>
          <w:tcPr>
            <w:tcW w:type="pct" w:w="2500"/>
            <w:tcBorders/>
          </w:tcPr>
          <w:p>
            <w:pPr>
              <w:pBdr/>
              <w:spacing/>
              <w:jc w:val="left"/>
              <w:rPr/>
            </w:pPr>
            <w:r>
              <w:rPr>
                <w:i/>
                <w:sz w:val="22"/>
              </w:rPr>
              <w:t xml:space="preserve">Residential Categories</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p>
        </w:tc>
      </w:tr>
      <w:tr>
        <w:trPr/>
        <w:tc>
          <w:tcPr>
            <w:tcW w:type="pct" w:w="2500"/>
            <w:tcBorders/>
          </w:tcPr>
          <w:p>
            <w:pPr>
              <w:pBdr/>
              <w:spacing/>
              <w:jc w:val="left"/>
              <w:rPr/>
            </w:pPr>
            <w:r>
              <w:rPr>
                <w:sz w:val="22"/>
              </w:rPr>
              <w:t xml:space="preserve">Agriculture </w:t>
            </w:r>
          </w:p>
        </w:tc>
        <w:tc>
          <w:tcPr>
            <w:tcW w:type="pct" w:w="833"/>
            <w:tcBorders/>
          </w:tcPr>
          <w:p>
            <w:pPr>
              <w:pBdr/>
              <w:spacing/>
              <w:jc w:val="left"/>
              <w:rPr/>
            </w:pPr>
            <w:r>
              <w:rPr>
                <w:sz w:val="22"/>
              </w:rPr>
              <w:t xml:space="preserve">L(4) </w:t>
            </w:r>
          </w:p>
        </w:tc>
        <w:tc>
          <w:tcPr>
            <w:tcW w:type="pct" w:w="833"/>
            <w:tcBorders/>
          </w:tcPr>
          <w:p>
            <w:pPr>
              <w:pBdr/>
              <w:spacing/>
              <w:jc w:val="left"/>
              <w:rPr/>
            </w:pPr>
            <w:r>
              <w:rPr>
                <w:sz w:val="22"/>
              </w:rPr>
              <w:t xml:space="preserve">L(4) </w:t>
            </w:r>
          </w:p>
        </w:tc>
        <w:tc>
          <w:tcPr>
            <w:tcW w:type="pct" w:w="833"/>
            <w:tcBorders/>
          </w:tcPr>
          <w:p>
            <w:pPr>
              <w:pBdr/>
              <w:spacing/>
              <w:jc w:val="left"/>
              <w:rPr/>
            </w:pPr>
            <w:r>
              <w:rPr>
                <w:sz w:val="22"/>
              </w:rPr>
              <w:t xml:space="preserve">L(4) </w:t>
            </w:r>
          </w:p>
        </w:tc>
      </w:tr>
      <w:tr>
        <w:trPr/>
        <w:tc>
          <w:tcPr>
            <w:tcW w:type="pct" w:w="2500"/>
            <w:tcBorders/>
          </w:tcPr>
          <w:p>
            <w:pPr>
              <w:pBdr/>
              <w:spacing/>
              <w:jc w:val="left"/>
              <w:rPr/>
            </w:pPr>
            <w:r>
              <w:rPr>
                <w:sz w:val="22"/>
              </w:rPr>
              <w:t xml:space="preserve">Single Family Dwellings </w:t>
            </w:r>
          </w:p>
        </w:tc>
        <w:tc>
          <w:tcPr>
            <w:tcW w:type="pct" w:w="833"/>
            <w:tcBorders/>
          </w:tcPr>
          <w:p>
            <w:pPr>
              <w:pBdr/>
              <w:spacing/>
              <w:jc w:val="left"/>
              <w:rPr/>
            </w:pPr>
            <w:r>
              <w:rPr>
                <w:sz w:val="22"/>
              </w:rPr>
              <w:t xml:space="preserve">L(3)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Accessory Dwelling Units </w:t>
            </w:r>
          </w:p>
        </w:tc>
        <w:tc>
          <w:tcPr>
            <w:tcW w:type="pct" w:w="833"/>
            <w:tcBorders/>
          </w:tcPr>
          <w:p>
            <w:pPr>
              <w:pBdr/>
              <w:spacing/>
              <w:jc w:val="left"/>
              <w:rPr/>
            </w:pPr>
            <w:r>
              <w:rPr>
                <w:sz w:val="22"/>
              </w:rPr>
              <w:t xml:space="preserve">L(7)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Dwellings Above Businesses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Duplexes </w:t>
            </w:r>
          </w:p>
        </w:tc>
        <w:tc>
          <w:tcPr>
            <w:tcW w:type="pct" w:w="833"/>
            <w:tcBorders/>
          </w:tcPr>
          <w:p>
            <w:pPr>
              <w:pBdr/>
              <w:spacing/>
              <w:jc w:val="left"/>
              <w:rPr/>
            </w:pPr>
            <w:r>
              <w:rPr>
                <w:sz w:val="22"/>
              </w:rPr>
              <w:t xml:space="preserve">P, L(3)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Personal care homes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Multifamily Dwellings </w:t>
            </w:r>
          </w:p>
        </w:tc>
        <w:tc>
          <w:tcPr>
            <w:tcW w:type="pct" w:w="833"/>
            <w:tcBorders/>
          </w:tcPr>
          <w:p>
            <w:pPr>
              <w:pBdr/>
              <w:spacing/>
              <w:jc w:val="left"/>
              <w:rPr/>
            </w:pPr>
            <w:r>
              <w:rPr>
                <w:sz w:val="22"/>
              </w:rPr>
              <w:t xml:space="preserve">L(3)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Class "A" Manufactured Homes </w:t>
            </w:r>
          </w:p>
        </w:tc>
        <w:tc>
          <w:tcPr>
            <w:tcW w:type="pct" w:w="833"/>
            <w:tcBorders/>
          </w:tcPr>
          <w:p>
            <w:pPr>
              <w:pBdr/>
              <w:spacing/>
              <w:jc w:val="left"/>
              <w:rPr/>
            </w:pPr>
            <w:r>
              <w:rPr>
                <w:sz w:val="22"/>
              </w:rPr>
              <w:t xml:space="preserve">L(3)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Class "B" Manufactured Homes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Boarding House or Rooming House </w:t>
            </w:r>
          </w:p>
        </w:tc>
        <w:tc>
          <w:tcPr>
            <w:tcW w:type="pct" w:w="833"/>
            <w:tcBorders/>
          </w:tcPr>
          <w:p>
            <w:pPr>
              <w:pBdr/>
              <w:spacing/>
              <w:jc w:val="left"/>
              <w:rPr/>
            </w:pPr>
            <w:r>
              <w:rPr>
                <w:sz w:val="22"/>
              </w:rPr>
              <w:t xml:space="preserve">L(3) </w:t>
            </w:r>
          </w:p>
        </w:tc>
        <w:tc>
          <w:tcPr>
            <w:tcW w:type="pct" w:w="833"/>
            <w:tcBorders/>
          </w:tcPr>
          <w:p>
            <w:pPr>
              <w:pBdr/>
              <w:spacing/>
              <w:jc w:val="left"/>
              <w:rPr/>
            </w:pPr>
            <w:r>
              <w:rPr>
                <w:sz w:val="22"/>
              </w:rPr>
              <w:t xml:space="preserve">S, L(3)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Dormitory </w:t>
            </w:r>
          </w:p>
        </w:tc>
        <w:tc>
          <w:tcPr>
            <w:tcW w:type="pct" w:w="833"/>
            <w:tcBorders/>
          </w:tcPr>
          <w:p>
            <w:pPr>
              <w:pBdr/>
              <w:spacing/>
              <w:jc w:val="left"/>
              <w:rPr/>
            </w:pPr>
            <w:r>
              <w:rPr>
                <w:sz w:val="22"/>
              </w:rPr>
              <w:t xml:space="preserve">L(3) </w:t>
            </w:r>
          </w:p>
        </w:tc>
        <w:tc>
          <w:tcPr>
            <w:tcW w:type="pct" w:w="833"/>
            <w:tcBorders/>
          </w:tcPr>
          <w:p>
            <w:pPr>
              <w:pBdr/>
              <w:spacing/>
              <w:jc w:val="left"/>
              <w:rPr/>
            </w:pPr>
            <w:r>
              <w:rPr>
                <w:sz w:val="22"/>
              </w:rPr>
              <w:t xml:space="preserve">S, L(3)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Halfway House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Community Garden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Home Occupation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5000"/>
            <w:gridSpan w:val="4"/>
            <w:tcBorders/>
          </w:tcPr>
          <w:p>
            <w:pPr>
              <w:pBdr/>
              <w:spacing/>
              <w:jc w:val="left"/>
              <w:rPr/>
            </w:pPr>
            <w:r>
              <w:rPr>
                <w:i/>
                <w:sz w:val="22"/>
              </w:rPr>
              <w:t xml:space="preserve">Commercial Categories</w:t>
            </w:r>
          </w:p>
        </w:tc>
      </w:tr>
      <w:tr>
        <w:trPr/>
        <w:tc>
          <w:tcPr>
            <w:tcW w:type="pct" w:w="2500"/>
            <w:tcBorders/>
          </w:tcPr>
          <w:p>
            <w:pPr>
              <w:pBdr/>
              <w:spacing/>
              <w:jc w:val="left"/>
              <w:rPr/>
            </w:pPr>
            <w:r>
              <w:rPr>
                <w:sz w:val="22"/>
              </w:rPr>
              <w:t xml:space="preserve">Home Occupation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Sale of products grown on site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Hostels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Hotels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Motels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Bed and Breakfast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Retail Sales And Service </w:t>
            </w:r>
          </w:p>
        </w:tc>
        <w:tc>
          <w:tcPr>
            <w:tcW w:type="pct" w:w="833"/>
            <w:tcBorders/>
          </w:tcPr>
          <w:p>
            <w:pPr>
              <w:pBdr/>
              <w:spacing/>
              <w:jc w:val="left"/>
              <w:rPr/>
            </w:pPr>
            <w:r>
              <w:rPr>
                <w:sz w:val="22"/>
              </w:rPr>
              <w:t xml:space="preserve">L(1) </w:t>
            </w:r>
          </w:p>
        </w:tc>
        <w:tc>
          <w:tcPr>
            <w:tcW w:type="pct" w:w="833"/>
            <w:tcBorders/>
          </w:tcPr>
          <w:p>
            <w:pPr>
              <w:pBdr/>
              <w:spacing/>
              <w:jc w:val="left"/>
              <w:rPr/>
            </w:pPr>
            <w:r>
              <w:rPr>
                <w:sz w:val="22"/>
              </w:rPr>
              <w:t xml:space="preserve">L(1) </w:t>
            </w:r>
          </w:p>
        </w:tc>
        <w:tc>
          <w:tcPr>
            <w:tcW w:type="pct" w:w="833"/>
            <w:tcBorders/>
          </w:tcPr>
          <w:p>
            <w:pPr>
              <w:pBdr/>
              <w:spacing/>
              <w:jc w:val="left"/>
              <w:rPr/>
            </w:pPr>
            <w:r>
              <w:rPr>
                <w:sz w:val="22"/>
              </w:rPr>
              <w:t xml:space="preserve">L(1) </w:t>
            </w:r>
          </w:p>
        </w:tc>
      </w:tr>
      <w:tr>
        <w:trPr/>
        <w:tc>
          <w:tcPr>
            <w:tcW w:type="pct" w:w="2500"/>
            <w:tcBorders/>
          </w:tcPr>
          <w:p>
            <w:pPr>
              <w:pBdr/>
              <w:spacing/>
              <w:jc w:val="left"/>
              <w:rPr/>
            </w:pPr>
            <w:r>
              <w:rPr>
                <w:sz w:val="22"/>
              </w:rPr>
              <w:t xml:space="preserve">Convenience Store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S </w:t>
            </w:r>
          </w:p>
        </w:tc>
      </w:tr>
      <w:tr>
        <w:trPr/>
        <w:tc>
          <w:tcPr>
            <w:tcW w:type="pct" w:w="2500"/>
            <w:tcBorders/>
          </w:tcPr>
          <w:p>
            <w:pPr>
              <w:pBdr/>
              <w:spacing/>
              <w:jc w:val="left"/>
              <w:rPr/>
            </w:pPr>
            <w:r>
              <w:rPr>
                <w:sz w:val="22"/>
              </w:rPr>
              <w:t xml:space="preserve">Theaters (less than 1,000 seats)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Restaurant or Bar </w:t>
            </w:r>
          </w:p>
        </w:tc>
        <w:tc>
          <w:tcPr>
            <w:tcW w:type="pct" w:w="833"/>
            <w:tcBorders/>
          </w:tcPr>
          <w:p>
            <w:pPr>
              <w:pBdr/>
              <w:spacing/>
              <w:jc w:val="left"/>
              <w:rPr/>
            </w:pPr>
            <w:r>
              <w:rPr>
                <w:sz w:val="22"/>
              </w:rPr>
              <w:t xml:space="preserve">L(1) </w:t>
            </w:r>
          </w:p>
        </w:tc>
        <w:tc>
          <w:tcPr>
            <w:tcW w:type="pct" w:w="833"/>
            <w:tcBorders/>
          </w:tcPr>
          <w:p>
            <w:pPr>
              <w:pBdr/>
              <w:spacing/>
              <w:jc w:val="left"/>
              <w:rPr/>
            </w:pPr>
            <w:r>
              <w:rPr>
                <w:sz w:val="22"/>
              </w:rPr>
              <w:t xml:space="preserve">L(1) </w:t>
            </w:r>
          </w:p>
        </w:tc>
        <w:tc>
          <w:tcPr>
            <w:tcW w:type="pct" w:w="833"/>
            <w:tcBorders/>
          </w:tcPr>
          <w:p>
            <w:pPr>
              <w:pBdr/>
              <w:spacing/>
              <w:jc w:val="left"/>
              <w:rPr/>
            </w:pPr>
            <w:r>
              <w:rPr>
                <w:sz w:val="22"/>
              </w:rPr>
              <w:t xml:space="preserve">L(1) </w:t>
            </w:r>
          </w:p>
        </w:tc>
      </w:tr>
      <w:tr>
        <w:trPr/>
        <w:tc>
          <w:tcPr>
            <w:tcW w:type="pct" w:w="2500"/>
            <w:tcBorders/>
          </w:tcPr>
          <w:p>
            <w:pPr>
              <w:pBdr/>
              <w:spacing/>
              <w:jc w:val="left"/>
              <w:rPr/>
            </w:pPr>
            <w:r>
              <w:rPr>
                <w:sz w:val="22"/>
              </w:rPr>
              <w:t xml:space="preserve">Drive-Through Facility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Professional Services and Office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Quick Vehicle Servicing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Vehicle Repair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Auto and RV Sales </w:t>
            </w:r>
          </w:p>
        </w:tc>
        <w:tc>
          <w:tcPr>
            <w:tcW w:type="pct" w:w="833"/>
            <w:tcBorders/>
          </w:tcPr>
          <w:p>
            <w:pPr>
              <w:pBdr/>
              <w:spacing/>
              <w:jc w:val="left"/>
              <w:rPr/>
            </w:pPr>
            <w:r>
              <w:rPr>
                <w:sz w:val="22"/>
              </w:rPr>
              <w:t xml:space="preserve">P, L(5) </w:t>
            </w:r>
          </w:p>
        </w:tc>
        <w:tc>
          <w:tcPr>
            <w:tcW w:type="pct" w:w="833"/>
            <w:tcBorders/>
          </w:tcPr>
          <w:p>
            <w:pPr>
              <w:pBdr/>
              <w:spacing/>
              <w:jc w:val="left"/>
              <w:rPr/>
            </w:pPr>
            <w:r>
              <w:rPr>
                <w:sz w:val="22"/>
              </w:rPr>
              <w:t xml:space="preserve">P, L(5) </w:t>
            </w:r>
          </w:p>
        </w:tc>
        <w:tc>
          <w:tcPr>
            <w:tcW w:type="pct" w:w="833"/>
            <w:tcBorders/>
          </w:tcPr>
          <w:p>
            <w:pPr>
              <w:pBdr/>
              <w:spacing/>
              <w:jc w:val="left"/>
              <w:rPr/>
            </w:pPr>
            <w:r>
              <w:rPr>
                <w:sz w:val="22"/>
              </w:rPr>
              <w:t xml:space="preserve">P, L(5) </w:t>
            </w:r>
          </w:p>
        </w:tc>
      </w:tr>
      <w:tr>
        <w:trPr/>
        <w:tc>
          <w:tcPr>
            <w:tcW w:type="pct" w:w="2500"/>
            <w:tcBorders/>
          </w:tcPr>
          <w:p>
            <w:pPr>
              <w:pBdr/>
              <w:spacing/>
              <w:jc w:val="left"/>
              <w:rPr/>
            </w:pPr>
            <w:r>
              <w:rPr>
                <w:sz w:val="22"/>
              </w:rPr>
              <w:t xml:space="preserve">Laundry Facilities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Equestrian Facilities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Commercial Outdoor Recreation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P, L(6) </w:t>
            </w:r>
          </w:p>
        </w:tc>
        <w:tc>
          <w:tcPr>
            <w:tcW w:type="pct" w:w="833"/>
            <w:tcBorders/>
          </w:tcPr>
          <w:p>
            <w:pPr>
              <w:pBdr/>
              <w:spacing/>
              <w:jc w:val="left"/>
              <w:rPr/>
            </w:pPr>
            <w:r>
              <w:rPr>
                <w:sz w:val="22"/>
              </w:rPr>
              <w:t xml:space="preserve">P, L(6) </w:t>
            </w:r>
          </w:p>
        </w:tc>
      </w:tr>
      <w:tr>
        <w:trPr/>
        <w:tc>
          <w:tcPr>
            <w:tcW w:type="pct" w:w="2500"/>
            <w:tcBorders/>
          </w:tcPr>
          <w:p>
            <w:pPr>
              <w:pBdr/>
              <w:spacing/>
              <w:jc w:val="left"/>
              <w:rPr/>
            </w:pPr>
            <w:r>
              <w:rPr>
                <w:sz w:val="22"/>
              </w:rPr>
              <w:t xml:space="preserve">Indoor Recreation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Major Event Entertainment </w:t>
            </w:r>
          </w:p>
        </w:tc>
        <w:tc>
          <w:tcPr>
            <w:tcW w:type="pct" w:w="833"/>
            <w:tcBorders/>
          </w:tcPr>
          <w:p>
            <w:pPr>
              <w:pBdr/>
              <w:spacing/>
              <w:jc w:val="left"/>
              <w:rPr/>
            </w:pPr>
            <w:r>
              <w:rPr>
                <w:sz w:val="22"/>
              </w:rPr>
              <w:t xml:space="preserve">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Commercial Parking Structures or Lots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Terminal (Passenger)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Administrative or Research Facilities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Broadcasting or production Studios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Temporary Uses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Temporary Special Event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P, L(8) </w:t>
            </w:r>
          </w:p>
        </w:tc>
        <w:tc>
          <w:tcPr>
            <w:tcW w:type="pct" w:w="833"/>
            <w:tcBorders/>
          </w:tcPr>
          <w:p>
            <w:pPr>
              <w:pBdr/>
              <w:spacing/>
              <w:jc w:val="left"/>
              <w:rPr/>
            </w:pPr>
            <w:r>
              <w:rPr>
                <w:sz w:val="22"/>
              </w:rPr>
              <w:t xml:space="preserve">P, L(8) </w:t>
            </w:r>
          </w:p>
        </w:tc>
      </w:tr>
      <w:tr>
        <w:trPr/>
        <w:tc>
          <w:tcPr>
            <w:tcW w:type="pct" w:w="5000"/>
            <w:gridSpan w:val="4"/>
            <w:tcBorders/>
          </w:tcPr>
          <w:p>
            <w:pPr>
              <w:pBdr/>
              <w:spacing/>
              <w:jc w:val="left"/>
              <w:rPr/>
            </w:pPr>
            <w:r>
              <w:rPr>
                <w:i/>
                <w:sz w:val="22"/>
              </w:rPr>
              <w:t xml:space="preserve">Industrial Categories</w:t>
            </w:r>
          </w:p>
        </w:tc>
      </w:tr>
      <w:tr>
        <w:trPr/>
        <w:tc>
          <w:tcPr>
            <w:tcW w:type="pct" w:w="2500"/>
            <w:tcBorders/>
          </w:tcPr>
          <w:p>
            <w:pPr>
              <w:pBdr/>
              <w:spacing/>
              <w:jc w:val="left"/>
              <w:rPr/>
            </w:pPr>
            <w:r>
              <w:rPr>
                <w:sz w:val="22"/>
              </w:rPr>
              <w:t xml:space="preserve">Printing/Publishing </w:t>
            </w:r>
          </w:p>
        </w:tc>
        <w:tc>
          <w:tcPr>
            <w:tcW w:type="pct" w:w="833"/>
            <w:tcBorders/>
          </w:tcPr>
          <w:p>
            <w:pPr>
              <w:pBdr/>
              <w:spacing/>
              <w:jc w:val="left"/>
              <w:rPr/>
            </w:pPr>
            <w:r>
              <w:rPr>
                <w:sz w:val="22"/>
              </w:rPr>
              <w:t xml:space="preserve">L(2) </w:t>
            </w:r>
          </w:p>
        </w:tc>
        <w:tc>
          <w:tcPr>
            <w:tcW w:type="pct" w:w="833"/>
            <w:tcBorders/>
          </w:tcPr>
          <w:p>
            <w:pPr>
              <w:pBdr/>
              <w:spacing/>
              <w:jc w:val="left"/>
              <w:rPr/>
            </w:pPr>
            <w:r>
              <w:rPr>
                <w:sz w:val="22"/>
              </w:rPr>
              <w:t xml:space="preserve">L(2)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Bakeries </w:t>
            </w:r>
          </w:p>
        </w:tc>
        <w:tc>
          <w:tcPr>
            <w:tcW w:type="pct" w:w="833"/>
            <w:tcBorders/>
          </w:tcPr>
          <w:p>
            <w:pPr>
              <w:pBdr/>
              <w:spacing/>
              <w:jc w:val="left"/>
              <w:rPr/>
            </w:pPr>
            <w:r>
              <w:rPr>
                <w:sz w:val="22"/>
              </w:rPr>
              <w:t xml:space="preserve">L(2) </w:t>
            </w:r>
          </w:p>
        </w:tc>
        <w:tc>
          <w:tcPr>
            <w:tcW w:type="pct" w:w="833"/>
            <w:tcBorders/>
          </w:tcPr>
          <w:p>
            <w:pPr>
              <w:pBdr/>
              <w:spacing/>
              <w:jc w:val="left"/>
              <w:rPr/>
            </w:pPr>
            <w:r>
              <w:rPr>
                <w:sz w:val="22"/>
              </w:rPr>
              <w:t xml:space="preserve">L(2)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Bottling Plants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Manufacture of Non-Odiferous Foods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L(2)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Food Processing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L(2)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Light Manufacturing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Heavy Manufacturing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Wholesale Sales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Wholesale Nurseries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Distribution Center </w:t>
            </w:r>
          </w:p>
        </w:tc>
        <w:tc>
          <w:tcPr>
            <w:tcW w:type="pct" w:w="833"/>
            <w:tcBorders/>
          </w:tcPr>
          <w:p>
            <w:pPr>
              <w:pBdr/>
              <w:spacing/>
              <w:jc w:val="left"/>
              <w:rPr/>
            </w:pPr>
            <w:r>
              <w:rPr>
                <w:sz w:val="22"/>
              </w:rPr>
              <w:t xml:space="preserve">S </w:t>
            </w:r>
          </w:p>
        </w:tc>
        <w:tc>
          <w:tcPr>
            <w:tcW w:type="pct" w:w="833"/>
            <w:tcBorders/>
          </w:tcPr>
          <w:p>
            <w:pPr>
              <w:pBdr/>
              <w:spacing/>
              <w:jc w:val="left"/>
              <w:rPr/>
            </w:pPr>
            <w:r>
              <w:rPr>
                <w:sz w:val="22"/>
              </w:rPr>
              <w:t xml:space="preserve">L(2)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Outdoor Storage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L(2)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Wholesale Storage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L(2)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Self-Service Storage </w:t>
            </w:r>
          </w:p>
        </w:tc>
        <w:tc>
          <w:tcPr>
            <w:tcW w:type="pct" w:w="833"/>
            <w:tcBorders/>
          </w:tcPr>
          <w:p>
            <w:pPr>
              <w:pBdr/>
              <w:spacing/>
              <w:jc w:val="left"/>
              <w:rPr/>
            </w:pPr>
            <w:r>
              <w:rPr>
                <w:sz w:val="22"/>
              </w:rPr>
              <w:t xml:space="preserve">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Terminal (Materials)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L(2)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Warehouse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L(2)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Construction Materials Sales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Kennels </w:t>
            </w:r>
          </w:p>
        </w:tc>
        <w:tc>
          <w:tcPr>
            <w:tcW w:type="pct" w:w="833"/>
            <w:tcBorders/>
          </w:tcPr>
          <w:p>
            <w:pPr>
              <w:pBdr/>
              <w:spacing/>
              <w:jc w:val="left"/>
              <w:rPr/>
            </w:pPr>
            <w:r>
              <w:rPr>
                <w:sz w:val="22"/>
              </w:rPr>
              <w:t xml:space="preserve">S </w:t>
            </w:r>
          </w:p>
        </w:tc>
        <w:tc>
          <w:tcPr>
            <w:tcW w:type="pct" w:w="833"/>
            <w:tcBorders/>
          </w:tcPr>
          <w:p>
            <w:pPr>
              <w:pBdr/>
              <w:spacing/>
              <w:jc w:val="left"/>
              <w:rPr/>
            </w:pPr>
            <w:r>
              <w:rPr>
                <w:sz w:val="22"/>
              </w:rPr>
              <w:t xml:space="preserve">S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Veterinary Clinics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Feed Lots or Slaughterhouses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S </w:t>
            </w:r>
          </w:p>
        </w:tc>
      </w:tr>
      <w:tr>
        <w:trPr/>
        <w:tc>
          <w:tcPr>
            <w:tcW w:type="pct" w:w="2500"/>
            <w:tcBorders/>
          </w:tcPr>
          <w:p>
            <w:pPr>
              <w:pBdr/>
              <w:spacing/>
              <w:jc w:val="left"/>
              <w:rPr/>
            </w:pPr>
            <w:r>
              <w:rPr>
                <w:sz w:val="22"/>
              </w:rPr>
              <w:t xml:space="preserve">Junk Yards and Auto Wrecking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S </w:t>
            </w:r>
          </w:p>
        </w:tc>
      </w:tr>
      <w:tr>
        <w:trPr/>
        <w:tc>
          <w:tcPr>
            <w:tcW w:type="pct" w:w="2500"/>
            <w:tcBorders/>
          </w:tcPr>
          <w:p>
            <w:pPr>
              <w:pBdr/>
              <w:spacing/>
              <w:jc w:val="left"/>
              <w:rPr/>
            </w:pPr>
            <w:r>
              <w:rPr>
                <w:sz w:val="22"/>
              </w:rPr>
              <w:t xml:space="preserve">Transfer Stations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Sanitary Landfills, Landfills, Commercial Incinerators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S </w:t>
            </w:r>
          </w:p>
        </w:tc>
      </w:tr>
      <w:tr>
        <w:trPr/>
        <w:tc>
          <w:tcPr>
            <w:tcW w:type="pct" w:w="2500"/>
            <w:tcBorders/>
          </w:tcPr>
          <w:p>
            <w:pPr>
              <w:pBdr/>
              <w:spacing/>
              <w:jc w:val="left"/>
              <w:rPr/>
            </w:pPr>
            <w:r>
              <w:rPr>
                <w:sz w:val="22"/>
              </w:rPr>
              <w:t xml:space="preserve">Asphalt Plants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S </w:t>
            </w:r>
          </w:p>
        </w:tc>
      </w:tr>
      <w:tr>
        <w:trPr/>
        <w:tc>
          <w:tcPr>
            <w:tcW w:type="pct" w:w="2500"/>
            <w:tcBorders/>
          </w:tcPr>
          <w:p>
            <w:pPr>
              <w:pBdr/>
              <w:spacing/>
              <w:jc w:val="left"/>
              <w:rPr/>
            </w:pPr>
            <w:r>
              <w:rPr>
                <w:sz w:val="22"/>
              </w:rPr>
              <w:t xml:space="preserve">Mines, mining, surface mining, quarries, gravel pits, sand pits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S </w:t>
            </w:r>
          </w:p>
        </w:tc>
      </w:tr>
      <w:tr>
        <w:trPr/>
        <w:tc>
          <w:tcPr>
            <w:tcW w:type="pct" w:w="2500"/>
            <w:tcBorders/>
          </w:tcPr>
          <w:p>
            <w:pPr>
              <w:pBdr/>
              <w:spacing/>
              <w:jc w:val="left"/>
              <w:rPr/>
            </w:pPr>
            <w:r>
              <w:rPr>
                <w:i/>
                <w:sz w:val="22"/>
              </w:rPr>
              <w:t xml:space="preserve">Institutional Categories</w:t>
            </w:r>
          </w:p>
        </w:tc>
        <w:tc>
          <w:tcPr>
            <w:tcW w:type="pct" w:w="833"/>
            <w:tcBorders/>
          </w:tcPr>
          <w:p>
            <w:pPr>
              <w:pBdr/>
              <w:spacing/>
              <w:jc w:val="left"/>
              <w:rPr/>
            </w:pPr>
          </w:p>
        </w:tc>
        <w:tc>
          <w:tcPr>
            <w:tcW w:type="pct" w:w="833"/>
            <w:tcBorders/>
          </w:tcPr>
          <w:p>
            <w:pPr>
              <w:pBdr/>
              <w:spacing/>
              <w:jc w:val="left"/>
              <w:rPr/>
            </w:pPr>
          </w:p>
        </w:tc>
        <w:tc>
          <w:tcPr>
            <w:tcW w:type="pct" w:w="833"/>
            <w:tcBorders/>
          </w:tcPr>
          <w:p>
            <w:pPr>
              <w:pBdr/>
              <w:spacing/>
              <w:jc w:val="left"/>
              <w:rPr/>
            </w:pPr>
          </w:p>
        </w:tc>
      </w:tr>
      <w:tr>
        <w:trPr/>
        <w:tc>
          <w:tcPr>
            <w:tcW w:type="pct" w:w="2500"/>
            <w:tcBorders/>
          </w:tcPr>
          <w:p>
            <w:pPr>
              <w:pBdr/>
              <w:spacing/>
              <w:jc w:val="left"/>
              <w:rPr/>
            </w:pPr>
            <w:r>
              <w:rPr>
                <w:sz w:val="22"/>
              </w:rPr>
              <w:t xml:space="preserve">Basic Utilities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Community Service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Parks And Open Areas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Churches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Business/Trade Schools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Day Care, Kindergarten, Elementary, Middle, and High Schools </w:t>
            </w:r>
          </w:p>
        </w:tc>
        <w:tc>
          <w:tcPr>
            <w:tcW w:type="pct" w:w="833"/>
            <w:tcBorders/>
          </w:tcPr>
          <w:p>
            <w:pPr>
              <w:pBdr/>
              <w:spacing/>
              <w:jc w:val="left"/>
              <w:rPr/>
            </w:pPr>
            <w:r>
              <w:rPr>
                <w:sz w:val="22"/>
              </w:rPr>
              <w:t xml:space="preserve">S </w:t>
            </w:r>
          </w:p>
        </w:tc>
        <w:tc>
          <w:tcPr>
            <w:tcW w:type="pct" w:w="833"/>
            <w:tcBorders/>
          </w:tcPr>
          <w:p>
            <w:pPr>
              <w:pBdr/>
              <w:spacing/>
              <w:jc w:val="left"/>
              <w:rPr/>
            </w:pPr>
            <w:r>
              <w:rPr>
                <w:sz w:val="22"/>
              </w:rPr>
              <w:t xml:space="preserve">S </w:t>
            </w:r>
          </w:p>
        </w:tc>
        <w:tc>
          <w:tcPr>
            <w:tcW w:type="pct" w:w="833"/>
            <w:tcBorders/>
          </w:tcPr>
          <w:p>
            <w:pPr>
              <w:pBdr/>
              <w:spacing/>
              <w:jc w:val="left"/>
              <w:rPr/>
            </w:pPr>
            <w:r>
              <w:rPr>
                <w:sz w:val="22"/>
              </w:rPr>
              <w:t xml:space="preserve">S </w:t>
            </w:r>
          </w:p>
        </w:tc>
      </w:tr>
      <w:tr>
        <w:trPr/>
        <w:tc>
          <w:tcPr>
            <w:tcW w:type="pct" w:w="2500"/>
            <w:tcBorders/>
          </w:tcPr>
          <w:p>
            <w:pPr>
              <w:pBdr/>
              <w:spacing/>
              <w:jc w:val="left"/>
              <w:rPr/>
            </w:pPr>
            <w:r>
              <w:rPr>
                <w:sz w:val="22"/>
              </w:rPr>
              <w:t xml:space="preserve">Colleges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r>
        <w:trPr/>
        <w:tc>
          <w:tcPr>
            <w:tcW w:type="pct" w:w="2500"/>
            <w:tcBorders/>
          </w:tcPr>
          <w:p>
            <w:pPr>
              <w:pBdr/>
              <w:spacing/>
              <w:jc w:val="left"/>
              <w:rPr/>
            </w:pPr>
            <w:r>
              <w:rPr>
                <w:sz w:val="22"/>
              </w:rPr>
              <w:t xml:space="preserve">Hospital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S </w:t>
            </w:r>
          </w:p>
        </w:tc>
      </w:tr>
      <w:tr>
        <w:trPr/>
        <w:tc>
          <w:tcPr>
            <w:tcW w:type="pct" w:w="2500"/>
            <w:tcBorders/>
          </w:tcPr>
          <w:p>
            <w:pPr>
              <w:pBdr/>
              <w:spacing/>
              <w:jc w:val="left"/>
              <w:rPr/>
            </w:pPr>
            <w:r>
              <w:rPr>
                <w:sz w:val="22"/>
              </w:rPr>
              <w:t xml:space="preserve">Nursing Homes </w:t>
            </w:r>
          </w:p>
        </w:tc>
        <w:tc>
          <w:tcPr>
            <w:tcW w:type="pct" w:w="833"/>
            <w:tcBorders/>
          </w:tcPr>
          <w:p>
            <w:pPr>
              <w:pBdr/>
              <w:spacing/>
              <w:jc w:val="left"/>
              <w:rPr/>
            </w:pPr>
            <w:r>
              <w:rPr>
                <w:sz w:val="22"/>
              </w:rPr>
              <w:t xml:space="preserve">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Medical Centers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Cemeteries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Mortuaries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Fraternities or Sororities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Semi-Public Halls, Clubs or Lodges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c>
          <w:tcPr>
            <w:tcW w:type="pct" w:w="833"/>
            <w:tcBorders/>
          </w:tcPr>
          <w:p>
            <w:pPr>
              <w:pBdr/>
              <w:spacing/>
              <w:jc w:val="left"/>
              <w:rPr/>
            </w:pPr>
            <w:r>
              <w:rPr>
                <w:sz w:val="22"/>
              </w:rPr>
              <w:t xml:space="preserve">N </w:t>
            </w:r>
          </w:p>
        </w:tc>
      </w:tr>
      <w:tr>
        <w:trPr/>
        <w:tc>
          <w:tcPr>
            <w:tcW w:type="pct" w:w="2500"/>
            <w:tcBorders/>
          </w:tcPr>
          <w:p>
            <w:pPr>
              <w:pBdr/>
              <w:spacing/>
              <w:jc w:val="left"/>
              <w:rPr/>
            </w:pPr>
            <w:r>
              <w:rPr>
                <w:sz w:val="22"/>
              </w:rPr>
              <w:t xml:space="preserve">Drug Rehabilitation Center or Other Facility for Treatment of Drug Dependency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c>
          <w:tcPr>
            <w:tcW w:type="pct" w:w="833"/>
            <w:tcBorders/>
          </w:tcPr>
          <w:p>
            <w:pPr>
              <w:pBdr/>
              <w:spacing/>
              <w:jc w:val="left"/>
              <w:rPr/>
            </w:pPr>
            <w:r>
              <w:rPr>
                <w:sz w:val="22"/>
              </w:rPr>
              <w:t xml:space="preserve">P </w:t>
            </w:r>
          </w:p>
        </w:tc>
      </w:tr>
    </w:tbl>
    <w:p>
      <w:pPr>
        <w:pBdr/>
        <w:spacing/>
        <w:rPr/>
      </w:pPr>
    </w:p>
    <w:p>
      <w:pPr>
        <w:pStyle w:val="Block1"/>
        <w:pBdr/>
        <w:spacing/>
        <w:rPr/>
      </w:pPr>
      <w:r>
        <w:rPr>
          <w:rStyle w:val="Block1"/>
        </w:rPr>
        <w:t xml:space="preserve">Legend: </w:t>
      </w:r>
    </w:p>
    <w:p>
      <w:pPr>
        <w:pStyle w:val="Hang1"/>
        <w:pBdr/>
        <w:spacing/>
        <w:rPr/>
      </w:pPr>
      <w:r>
        <w:rPr>
          <w:rStyle w:val="Hang1"/>
        </w:rPr>
        <w:t xml:space="preserve">P = Permitted outright. </w:t>
      </w:r>
    </w:p>
    <w:p>
      <w:pPr>
        <w:pStyle w:val="Hang1"/>
        <w:pBdr/>
        <w:spacing/>
        <w:rPr/>
      </w:pPr>
      <w:r>
        <w:rPr>
          <w:rStyle w:val="Hang1"/>
        </w:rPr>
        <w:t xml:space="preserve">S = Subject to approval under the special use procedures section. </w:t>
      </w:r>
    </w:p>
    <w:p>
      <w:pPr>
        <w:pStyle w:val="Hang1"/>
        <w:pBdr/>
        <w:spacing/>
        <w:rPr/>
      </w:pPr>
      <w:r>
        <w:rPr>
          <w:rStyle w:val="Hang1"/>
        </w:rPr>
        <w:t xml:space="preserve">N = Prohibited use. </w:t>
      </w:r>
    </w:p>
    <w:p>
      <w:pPr>
        <w:pStyle w:val="Hang1"/>
        <w:pBdr/>
        <w:spacing/>
        <w:rPr/>
      </w:pPr>
      <w:r>
        <w:rPr>
          <w:rStyle w:val="Hang1"/>
        </w:rPr>
        <w:t xml:space="preserve">L(1) = Uses are limited to no more than 10,000 square feet of gross floor area per lot. Shopping centers are not permitted. </w:t>
      </w:r>
    </w:p>
    <w:p>
      <w:pPr>
        <w:pStyle w:val="Hang1"/>
        <w:pBdr/>
        <w:spacing/>
        <w:rPr/>
      </w:pPr>
      <w:r>
        <w:rPr>
          <w:rStyle w:val="Hang1"/>
        </w:rPr>
        <w:t xml:space="preserve">L(2) = When within 200 feet of a residential zone, approval of this use is subject to a special use process. </w:t>
      </w:r>
    </w:p>
    <w:p>
      <w:pPr>
        <w:pStyle w:val="Hang1"/>
        <w:pBdr/>
        <w:spacing/>
        <w:rPr/>
      </w:pPr>
      <w:r>
        <w:rPr>
          <w:rStyle w:val="Hang1"/>
        </w:rPr>
        <w:t xml:space="preserve">L(3) = Total residential square footage shall not exceed 20 percent of the total square footage of the development. Site design criteria, pursuant to chapter 9-25 included herein, shall apply to residential uses. </w:t>
      </w:r>
    </w:p>
    <w:p>
      <w:pPr>
        <w:pStyle w:val="Hang1"/>
        <w:pBdr/>
        <w:spacing/>
        <w:rPr/>
      </w:pPr>
      <w:r>
        <w:rPr>
          <w:rStyle w:val="Hang1"/>
        </w:rPr>
        <w:t xml:space="preserve">L(4) = Agriculture and the keeping of livestock, except swine, is permitted provided that: </w:t>
      </w:r>
    </w:p>
    <w:p>
      <w:pPr>
        <w:pStyle w:val="List3"/>
        <w:pBdr/>
        <w:spacing/>
        <w:rPr/>
      </w:pPr>
      <w:r>
        <w:rPr/>
        <w:t xml:space="preserve">1.</w:t>
      </w:r>
      <w:r>
        <w:rPr/>
        <w:tab/>
        <w:t xml:space="preserve"/>
      </w:r>
      <w:r>
        <w:rPr/>
        <w:t xml:space="preserve">No livestock shall be kept on any lot less than one acre in area. </w:t>
      </w:r>
    </w:p>
    <w:p>
      <w:pPr>
        <w:pStyle w:val="List3"/>
        <w:pBdr/>
        <w:spacing/>
        <w:rPr/>
      </w:pPr>
      <w:r>
        <w:rPr/>
        <w:t xml:space="preserve">2.</w:t>
      </w:r>
      <w:r>
        <w:rPr/>
        <w:tab/>
        <w:t xml:space="preserve"/>
      </w:r>
      <w:r>
        <w:rPr/>
        <w:t xml:space="preserve">No more than two head of livestock over the age of six months may be maintained per acre. </w:t>
      </w:r>
    </w:p>
    <w:p>
      <w:pPr>
        <w:pStyle w:val="List3"/>
        <w:pBdr/>
        <w:spacing/>
        <w:rPr/>
      </w:pPr>
      <w:r>
        <w:rPr/>
        <w:t xml:space="preserve">3.</w:t>
      </w:r>
      <w:r>
        <w:rPr/>
        <w:tab/>
        <w:t xml:space="preserve"/>
      </w:r>
      <w:r>
        <w:rPr/>
        <w:t xml:space="preserve">Barns, stables, and other buildings and structures to house said livestock shall not be located closer than 50 feet to any property line. </w:t>
      </w:r>
    </w:p>
    <w:p>
      <w:pPr>
        <w:pStyle w:val="List3"/>
        <w:pBdr/>
        <w:spacing/>
        <w:rPr/>
      </w:pPr>
      <w:r>
        <w:rPr/>
        <w:t xml:space="preserve">4.</w:t>
      </w:r>
      <w:r>
        <w:rPr/>
        <w:tab/>
        <w:t xml:space="preserve"/>
      </w:r>
      <w:r>
        <w:rPr/>
        <w:t xml:space="preserve">The property has not previously been developed with a use permitted by an underlying zoning classification other than AR. </w:t>
      </w:r>
    </w:p>
    <w:p>
      <w:pPr>
        <w:pStyle w:val="Hang1"/>
        <w:pBdr/>
        <w:spacing/>
        <w:rPr/>
      </w:pPr>
      <w:r>
        <w:rPr>
          <w:rStyle w:val="Hang1"/>
        </w:rPr>
        <w:t xml:space="preserve">L(5) = Parking areas are permitted between the building and the street, provided that landscaping is included adjacent to the street pursuant to </w:t>
      </w:r>
      <w:r>
        <w:rPr/>
        <w:t xml:space="preserve">sections 9-11-6</w:t>
      </w:r>
      <w:r>
        <w:rPr>
          <w:rStyle w:val="Hang1"/>
        </w:rPr>
        <w:t xml:space="preserve">(D) and </w:t>
      </w:r>
      <w:r>
        <w:rPr/>
        <w:t xml:space="preserve">9-30-9</w:t>
      </w:r>
      <w:r>
        <w:rPr>
          <w:rStyle w:val="Hang1"/>
        </w:rPr>
        <w:t xml:space="preserve">(E)(6). </w:t>
      </w:r>
    </w:p>
    <w:p>
      <w:pPr>
        <w:pStyle w:val="Hang1"/>
        <w:pBdr/>
        <w:spacing/>
        <w:rPr/>
      </w:pPr>
      <w:r>
        <w:rPr>
          <w:rStyle w:val="Hang1"/>
        </w:rPr>
        <w:t xml:space="preserve">L(6) = Commercial Outdoor Recreation uses that involve overnight accommodations, such as camping and RV parks, are subject to the special use process. </w:t>
      </w:r>
    </w:p>
    <w:p>
      <w:pPr>
        <w:pStyle w:val="Hang1"/>
        <w:pBdr/>
        <w:spacing/>
        <w:rPr/>
      </w:pPr>
      <w:r>
        <w:rPr>
          <w:rStyle w:val="Hang1"/>
        </w:rPr>
        <w:t xml:space="preserve">L(7) = A maximum of one detached residential unit, designed for and occupied by one family only. The structure must be accessory and subordinate to a single-family dwelling and located on a tract of land that is at least twice the minimum lot size for the district in which it is located, and conforms to the standards outlined in this title. The accessory dwelling structure must: (1) be located entirely in the rear yard of the principal residential structure; (2) have gross square footage that is 50% or less of the habitable square footage of the principal residential structure; and (3) have fewer bedrooms than the principal residential structure. </w:t>
      </w:r>
    </w:p>
    <w:p>
      <w:pPr>
        <w:pStyle w:val="Hang1"/>
        <w:pBdr/>
        <w:spacing/>
        <w:rPr/>
      </w:pPr>
      <w:r>
        <w:rPr>
          <w:rStyle w:val="Hang1"/>
        </w:rPr>
        <w:t xml:space="preserve">L(8) = Temporary special events, as defined in </w:t>
      </w:r>
      <w:r>
        <w:rPr/>
        <w:t xml:space="preserve">section 9-2-1</w:t>
      </w:r>
      <w:r>
        <w:rPr>
          <w:rStyle w:val="Hang1"/>
        </w:rPr>
        <w:t xml:space="preserve">, are subject to, but not limited to, the following conditions: </w:t>
      </w:r>
    </w:p>
    <w:p>
      <w:pPr>
        <w:pStyle w:val="List3"/>
        <w:pBdr/>
        <w:spacing/>
        <w:rPr/>
      </w:pPr>
      <w:r>
        <w:rPr/>
        <w:t xml:space="preserve">1.</w:t>
      </w:r>
      <w:r>
        <w:rPr/>
        <w:tab/>
        <w:t xml:space="preserve"/>
      </w:r>
      <w:r>
        <w:rPr/>
        <w:t xml:space="preserve">The boundary of the temporary special event, as described on the approved site plan, shall not be located within 300 feet of any RS (Single-Family Residential) zone or RM (Mixed Density Residential) zone. </w:t>
      </w:r>
    </w:p>
    <w:p>
      <w:pPr>
        <w:pStyle w:val="List3"/>
        <w:pBdr/>
        <w:spacing/>
        <w:rPr/>
      </w:pPr>
      <w:r>
        <w:rPr/>
        <w:t xml:space="preserve">2.</w:t>
      </w:r>
      <w:r>
        <w:rPr/>
        <w:tab/>
        <w:t xml:space="preserve"/>
      </w:r>
      <w:r>
        <w:rPr/>
        <w:t xml:space="preserve">A temporary special event shall have a duration of not more than 72 consecutive hours, including setup and breakdown of the event. </w:t>
      </w:r>
    </w:p>
    <w:p>
      <w:pPr>
        <w:pStyle w:val="List3"/>
        <w:pBdr/>
        <w:spacing/>
        <w:rPr/>
      </w:pPr>
      <w:r>
        <w:rPr/>
        <w:t xml:space="preserve">3.</w:t>
      </w:r>
      <w:r>
        <w:rPr/>
        <w:tab/>
        <w:t xml:space="preserve"/>
      </w:r>
      <w:r>
        <w:rPr/>
        <w:t xml:space="preserve">No more than two temporary special events may occur for any one property in each calendar year; a temporary special event shall not occur more frequently than once in a three-month period on the subject property. </w:t>
      </w:r>
    </w:p>
    <w:p>
      <w:pPr>
        <w:pStyle w:val="List3"/>
        <w:pBdr/>
        <w:spacing/>
        <w:rPr/>
      </w:pPr>
      <w:r>
        <w:rPr/>
        <w:t xml:space="preserve">4.</w:t>
      </w:r>
      <w:r>
        <w:rPr/>
        <w:tab/>
        <w:t xml:space="preserve"/>
      </w:r>
      <w:r>
        <w:rPr/>
        <w:t xml:space="preserve">Sufficient improved or unimproved off-street parking, to be approved by the Planning Director, with access to be approved by the Department of Transportation and Public Works, shall be provided. </w:t>
      </w:r>
    </w:p>
    <w:p>
      <w:pPr>
        <w:pStyle w:val="List3"/>
        <w:pBdr/>
        <w:spacing/>
        <w:rPr/>
      </w:pPr>
      <w:r>
        <w:rPr/>
        <w:t xml:space="preserve">5.</w:t>
      </w:r>
      <w:r>
        <w:rPr/>
        <w:tab/>
        <w:t xml:space="preserve"/>
      </w:r>
      <w:r>
        <w:rPr/>
        <w:t xml:space="preserve">All temporary special events shall apply for and obtain, if required, an Athens-Clarke County Special Events Permit per </w:t>
      </w:r>
      <w:r>
        <w:rPr/>
        <w:t xml:space="preserve">Chapter 6-5</w:t>
      </w:r>
      <w:r>
        <w:rPr/>
        <w:t xml:space="preserve"> and shall comply with all applicable local, state, and federal regulations. </w:t>
      </w:r>
    </w:p>
    <w:p>
      <w:pPr>
        <w:pStyle w:val="HistoryNote"/>
        <w:pBdr/>
        <w:spacing/>
        <w:rPr/>
      </w:pPr>
      <w:r>
        <w:rPr>
          <w:rStyle w:val="HistoryNote"/>
        </w:rPr>
        <w:t xml:space="preserve">(Ord. of 12-5-2000, § 1; Ord. of 5-7-2002, § 2; Ord. of 8-5-2003, § 1; Ord. of 2-3-2004, § 1; Ord. of 8-1-2006, § 9; Ord. of 8-1-2006, § 2; Ord. of 6-3-208, § 1; Ord. of 2-3-2009, § 4; Ord. of 4-5-2011, § 7; Ord. of 12-4-2012, § 9; Ord. of 2-4-2014, § 7; Ord. of 12-12-2022(5), § 1; Ord. of 12-5-2023(4), § 7; Ord. of 2-6-2024(3), § 8)</w:t>
      </w:r>
    </w:p>
    <w:p>
      <w:pPr>
        <w:pBdr/>
        <w:spacing w:before="0" w:after="0"/>
        <w:rPr/>
        <w:sectPr>
          <w:headerReference w:type="default" r:id="rId5"/>
          <w:footerReference w:type="default" r:id="rId6"/>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9-11-3.</w:t>
      </w:r>
      <w:r>
        <w:rPr/>
        <w:t xml:space="preserve"> </w:t>
      </w:r>
      <w:r>
        <w:rPr/>
        <w:t xml:space="preserve">Special uses.</w:t>
      </w:r>
    </w:p>
    <w:p>
      <w:pPr>
        <w:pStyle w:val="Paragraph1"/>
        <w:pBdr/>
        <w:spacing/>
        <w:rPr/>
      </w:pPr>
      <w:r>
        <w:rPr>
          <w:rStyle w:val="Paragraph1"/>
        </w:rPr>
        <w:t xml:space="preserve">The following uses and their accessory uses are permitted when authorized in accordance with the chapter on special use permits: </w:t>
      </w:r>
    </w:p>
    <w:p>
      <w:pPr>
        <w:pStyle w:val="List2"/>
        <w:pBdr/>
        <w:spacing/>
        <w:rPr/>
      </w:pPr>
      <w:r>
        <w:rPr/>
        <w:t xml:space="preserve">A.</w:t>
      </w:r>
      <w:r>
        <w:rPr/>
        <w:tab/>
        <w:t xml:space="preserve"/>
      </w:r>
      <w:r>
        <w:rPr/>
        <w:t xml:space="preserve">Shopping centers or department stores on parcels not located on an arterial street as designated in Athens-Clarke County's Comprehensive Plan. </w:t>
      </w:r>
    </w:p>
    <w:p>
      <w:pPr>
        <w:pStyle w:val="List2"/>
        <w:pBdr/>
        <w:spacing/>
        <w:rPr/>
      </w:pPr>
      <w:r>
        <w:rPr/>
        <w:t xml:space="preserve">B.</w:t>
      </w:r>
      <w:r>
        <w:rPr/>
        <w:tab/>
        <w:t xml:space="preserve"/>
      </w:r>
      <w:r>
        <w:rPr/>
        <w:t xml:space="preserve">Any use in an E-O zone which involves outside storage of merchandise, raw materials, or other material associated with the primary use on the site. </w:t>
      </w:r>
    </w:p>
    <w:p>
      <w:pPr>
        <w:pStyle w:val="List2"/>
        <w:pBdr/>
        <w:spacing/>
        <w:rPr/>
      </w:pPr>
      <w:r>
        <w:rPr/>
        <w:t xml:space="preserve">C.</w:t>
      </w:r>
      <w:r>
        <w:rPr/>
        <w:tab/>
        <w:t xml:space="preserve"/>
      </w:r>
      <w:r>
        <w:rPr/>
        <w:t xml:space="preserve">There shall be no manufacturing, retailing, or other activity on the site which is not entirely conducted within a building, except in the I zone, and except as specifically permitted through the Special Use process. </w:t>
      </w:r>
    </w:p>
    <w:p>
      <w:pPr>
        <w:pStyle w:val="HistoryNote"/>
        <w:pBdr/>
        <w:spacing/>
        <w:rPr/>
      </w:pPr>
      <w:r>
        <w:rPr>
          <w:rStyle w:val="HistoryNote"/>
        </w:rPr>
        <w:t xml:space="preserve">(Ord. of 12-5-2000, § 1)</w:t>
      </w:r>
    </w:p>
    <w:p>
      <w:pPr>
        <w:pBdr/>
        <w:spacing w:before="0" w:after="0"/>
        <w:rPr/>
        <w:sectPr>
          <w:headerReference w:type="default" r:id="rId7"/>
          <w:footerReference w:type="default" r:id="rId8"/>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9-11-4.</w:t>
      </w:r>
      <w:r>
        <w:rPr/>
        <w:t xml:space="preserve"> </w:t>
      </w:r>
      <w:r>
        <w:rPr/>
        <w:t xml:space="preserve">General regulations.</w:t>
      </w:r>
    </w:p>
    <w:tbl>
      <w:tblPr>
        <w:tblStyle w:val="Table1_d958ae8a-325c-4a32-9f41-7fbc67f24078"/>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4789"/>
        <w:gridCol w:w="1596"/>
        <w:gridCol w:w="1595"/>
        <w:gridCol w:w="1596"/>
      </w:tblGrid>
      <w:tr>
        <w:trPr/>
        <w:tc>
          <w:tcPr>
            <w:tcW w:type="pct" w:w="2500"/>
            <w:tcBorders/>
          </w:tcPr>
          <w:p>
            <w:pPr>
              <w:pBdr/>
              <w:spacing/>
              <w:jc w:val="left"/>
              <w:rPr/>
            </w:pPr>
            <w:r>
              <w:rPr>
                <w:sz w:val="24"/>
              </w:rPr>
              <w:t xml:space="preserve">Table 9-11-4 </w:t>
            </w:r>
          </w:p>
        </w:tc>
        <w:tc>
          <w:tcPr>
            <w:tcW w:type="pct" w:w="833"/>
            <w:tcBorders/>
          </w:tcPr>
          <w:p>
            <w:pPr>
              <w:pBdr/>
              <w:spacing/>
              <w:jc w:val="left"/>
              <w:rPr/>
            </w:pPr>
            <w:r>
              <w:rPr>
                <w:sz w:val="24"/>
              </w:rPr>
              <w:t xml:space="preserve">E-O </w:t>
            </w:r>
            <w:r>
              <w:rPr>
                <w:sz w:val="24"/>
              </w:rPr>
              <w:br/>
            </w:r>
            <w:r>
              <w:rPr>
                <w:sz w:val="24"/>
              </w:rPr>
              <w:t xml:space="preserve">Employment </w:t>
            </w:r>
            <w:r>
              <w:rPr>
                <w:sz w:val="24"/>
              </w:rPr>
              <w:br/>
            </w:r>
            <w:r>
              <w:rPr>
                <w:sz w:val="24"/>
              </w:rPr>
              <w:t xml:space="preserve">Office </w:t>
            </w:r>
          </w:p>
        </w:tc>
        <w:tc>
          <w:tcPr>
            <w:tcW w:type="pct" w:w="833"/>
            <w:tcBorders/>
          </w:tcPr>
          <w:p>
            <w:pPr>
              <w:pBdr/>
              <w:spacing/>
              <w:jc w:val="left"/>
              <w:rPr/>
            </w:pPr>
            <w:r>
              <w:rPr>
                <w:sz w:val="24"/>
              </w:rPr>
              <w:t xml:space="preserve">E-I </w:t>
            </w:r>
            <w:r>
              <w:rPr>
                <w:sz w:val="24"/>
              </w:rPr>
              <w:br/>
            </w:r>
            <w:r>
              <w:rPr>
                <w:sz w:val="24"/>
              </w:rPr>
              <w:t xml:space="preserve">Employment </w:t>
            </w:r>
            <w:r>
              <w:rPr>
                <w:sz w:val="24"/>
              </w:rPr>
              <w:br/>
            </w:r>
            <w:r>
              <w:rPr>
                <w:sz w:val="24"/>
              </w:rPr>
              <w:t xml:space="preserve">Industrial </w:t>
            </w:r>
          </w:p>
        </w:tc>
        <w:tc>
          <w:tcPr>
            <w:tcW w:type="pct" w:w="833"/>
            <w:tcBorders/>
          </w:tcPr>
          <w:p>
            <w:pPr>
              <w:pBdr/>
              <w:spacing/>
              <w:jc w:val="left"/>
              <w:rPr/>
            </w:pPr>
            <w:r>
              <w:rPr>
                <w:sz w:val="24"/>
              </w:rPr>
              <w:t xml:space="preserve">I </w:t>
            </w:r>
            <w:r>
              <w:rPr>
                <w:sz w:val="24"/>
              </w:rPr>
              <w:br/>
            </w:r>
            <w:r>
              <w:rPr>
                <w:sz w:val="24"/>
              </w:rPr>
              <w:t xml:space="preserve">Industrial </w:t>
            </w:r>
          </w:p>
        </w:tc>
      </w:tr>
      <w:tr>
        <w:trPr/>
        <w:tc>
          <w:tcPr>
            <w:tcW w:type="pct" w:w="2500"/>
            <w:tcBorders/>
          </w:tcPr>
          <w:p>
            <w:pPr>
              <w:pBdr/>
              <w:spacing/>
              <w:jc w:val="left"/>
              <w:rPr/>
            </w:pPr>
            <w:r>
              <w:rPr>
                <w:sz w:val="24"/>
              </w:rPr>
              <w:t xml:space="preserve">Minimum lot area </w:t>
            </w:r>
          </w:p>
        </w:tc>
        <w:tc>
          <w:tcPr>
            <w:tcW w:type="pct" w:w="833"/>
            <w:tcBorders/>
          </w:tcPr>
          <w:p>
            <w:pPr>
              <w:pBdr/>
              <w:spacing/>
              <w:jc w:val="left"/>
              <w:rPr/>
            </w:pPr>
            <w:r>
              <w:rPr>
                <w:sz w:val="24"/>
              </w:rPr>
              <w:t xml:space="preserve">2,500 sq. ft. </w:t>
            </w:r>
          </w:p>
        </w:tc>
        <w:tc>
          <w:tcPr>
            <w:tcW w:type="pct" w:w="833"/>
            <w:tcBorders/>
          </w:tcPr>
          <w:p>
            <w:pPr>
              <w:pBdr/>
              <w:spacing/>
              <w:jc w:val="left"/>
              <w:rPr/>
            </w:pPr>
            <w:r>
              <w:rPr>
                <w:sz w:val="24"/>
              </w:rPr>
              <w:t xml:space="preserve">2,500 sq. ft. </w:t>
            </w:r>
          </w:p>
        </w:tc>
        <w:tc>
          <w:tcPr>
            <w:tcW w:type="pct" w:w="833"/>
            <w:tcBorders/>
          </w:tcPr>
          <w:p>
            <w:pPr>
              <w:pBdr/>
              <w:spacing/>
              <w:jc w:val="left"/>
              <w:rPr/>
            </w:pPr>
            <w:r>
              <w:rPr>
                <w:sz w:val="24"/>
              </w:rPr>
              <w:t xml:space="preserve">5,000 sq. ft. </w:t>
            </w:r>
          </w:p>
        </w:tc>
      </w:tr>
      <w:tr>
        <w:trPr/>
        <w:tc>
          <w:tcPr>
            <w:tcW w:type="pct" w:w="2500"/>
            <w:tcBorders/>
          </w:tcPr>
          <w:p>
            <w:pPr>
              <w:pBdr/>
              <w:spacing/>
              <w:jc w:val="left"/>
              <w:rPr/>
            </w:pPr>
            <w:r>
              <w:rPr>
                <w:sz w:val="24"/>
              </w:rPr>
              <w:t xml:space="preserve">Minimum lot width</w:t>
            </w:r>
            <w:r>
              <w:rPr>
                <w:sz w:val="24"/>
                <w:vertAlign w:val="superscript"/>
              </w:rPr>
              <w:t xml:space="preserve">2 </w:t>
            </w:r>
          </w:p>
        </w:tc>
        <w:tc>
          <w:tcPr>
            <w:tcW w:type="pct" w:w="833"/>
            <w:tcBorders/>
          </w:tcPr>
          <w:p>
            <w:pPr>
              <w:pBdr/>
              <w:spacing/>
              <w:jc w:val="left"/>
              <w:rPr/>
            </w:pPr>
            <w:r>
              <w:rPr>
                <w:sz w:val="24"/>
              </w:rPr>
              <w:t xml:space="preserve">50 ft. </w:t>
            </w:r>
          </w:p>
        </w:tc>
        <w:tc>
          <w:tcPr>
            <w:tcW w:type="pct" w:w="833"/>
            <w:tcBorders/>
          </w:tcPr>
          <w:p>
            <w:pPr>
              <w:pBdr/>
              <w:spacing/>
              <w:jc w:val="left"/>
              <w:rPr/>
            </w:pPr>
            <w:r>
              <w:rPr>
                <w:sz w:val="24"/>
              </w:rPr>
              <w:t xml:space="preserve">50 ft. </w:t>
            </w:r>
          </w:p>
        </w:tc>
        <w:tc>
          <w:tcPr>
            <w:tcW w:type="pct" w:w="833"/>
            <w:tcBorders/>
          </w:tcPr>
          <w:p>
            <w:pPr>
              <w:pBdr/>
              <w:spacing/>
              <w:jc w:val="left"/>
              <w:rPr/>
            </w:pPr>
            <w:r>
              <w:rPr>
                <w:sz w:val="24"/>
              </w:rPr>
              <w:t xml:space="preserve">50 ft. </w:t>
            </w:r>
          </w:p>
        </w:tc>
      </w:tr>
      <w:tr>
        <w:trPr/>
        <w:tc>
          <w:tcPr>
            <w:tcW w:type="pct" w:w="2500"/>
            <w:tcBorders/>
          </w:tcPr>
          <w:p>
            <w:pPr>
              <w:pBdr/>
              <w:spacing/>
              <w:jc w:val="left"/>
              <w:rPr/>
            </w:pPr>
            <w:r>
              <w:rPr>
                <w:sz w:val="24"/>
              </w:rPr>
              <w:t xml:space="preserve">Minimum lot depth </w:t>
            </w:r>
          </w:p>
        </w:tc>
        <w:tc>
          <w:tcPr>
            <w:tcW w:type="pct" w:w="833"/>
            <w:tcBorders/>
          </w:tcPr>
          <w:p>
            <w:pPr>
              <w:pBdr/>
              <w:spacing/>
              <w:jc w:val="left"/>
              <w:rPr/>
            </w:pPr>
            <w:r>
              <w:rPr>
                <w:sz w:val="24"/>
              </w:rPr>
              <w:t xml:space="preserve">50 ft. </w:t>
            </w:r>
          </w:p>
        </w:tc>
        <w:tc>
          <w:tcPr>
            <w:tcW w:type="pct" w:w="833"/>
            <w:tcBorders/>
          </w:tcPr>
          <w:p>
            <w:pPr>
              <w:pBdr/>
              <w:spacing/>
              <w:jc w:val="left"/>
              <w:rPr/>
            </w:pPr>
            <w:r>
              <w:rPr>
                <w:sz w:val="24"/>
              </w:rPr>
              <w:t xml:space="preserve">50 ft. </w:t>
            </w:r>
          </w:p>
        </w:tc>
        <w:tc>
          <w:tcPr>
            <w:tcW w:type="pct" w:w="833"/>
            <w:tcBorders/>
          </w:tcPr>
          <w:p>
            <w:pPr>
              <w:pBdr/>
              <w:spacing/>
              <w:jc w:val="left"/>
              <w:rPr/>
            </w:pPr>
            <w:r>
              <w:rPr>
                <w:sz w:val="24"/>
              </w:rPr>
              <w:t xml:space="preserve">50 ft. </w:t>
            </w:r>
          </w:p>
        </w:tc>
      </w:tr>
      <w:tr>
        <w:trPr/>
        <w:tc>
          <w:tcPr>
            <w:tcW w:type="pct" w:w="2500"/>
            <w:tcBorders/>
          </w:tcPr>
          <w:p>
            <w:pPr>
              <w:pBdr/>
              <w:spacing/>
              <w:jc w:val="left"/>
              <w:rPr/>
            </w:pPr>
            <w:r>
              <w:rPr>
                <w:sz w:val="24"/>
              </w:rPr>
              <w:t xml:space="preserve">Minimum front yard</w:t>
            </w:r>
            <w:r>
              <w:rPr>
                <w:sz w:val="24"/>
                <w:vertAlign w:val="superscript"/>
              </w:rPr>
              <w:t xml:space="preserve">1 </w:t>
            </w:r>
          </w:p>
        </w:tc>
        <w:tc>
          <w:tcPr>
            <w:tcW w:type="pct" w:w="833"/>
            <w:tcBorders/>
          </w:tcPr>
          <w:p>
            <w:pPr>
              <w:pBdr/>
              <w:spacing/>
              <w:jc w:val="left"/>
              <w:rPr/>
            </w:pPr>
            <w:r>
              <w:rPr>
                <w:sz w:val="24"/>
              </w:rPr>
              <w:t xml:space="preserve">10 ft. </w:t>
            </w:r>
          </w:p>
        </w:tc>
        <w:tc>
          <w:tcPr>
            <w:tcW w:type="pct" w:w="833"/>
            <w:tcBorders/>
          </w:tcPr>
          <w:p>
            <w:pPr>
              <w:pBdr/>
              <w:spacing/>
              <w:jc w:val="left"/>
              <w:rPr/>
            </w:pPr>
            <w:r>
              <w:rPr>
                <w:sz w:val="24"/>
              </w:rPr>
              <w:t xml:space="preserve">10 ft. </w:t>
            </w:r>
          </w:p>
        </w:tc>
        <w:tc>
          <w:tcPr>
            <w:tcW w:type="pct" w:w="833"/>
            <w:tcBorders/>
          </w:tcPr>
          <w:p>
            <w:pPr>
              <w:pBdr/>
              <w:spacing/>
              <w:jc w:val="left"/>
              <w:rPr/>
            </w:pPr>
            <w:r>
              <w:rPr>
                <w:sz w:val="24"/>
              </w:rPr>
              <w:t xml:space="preserve">10 ft. </w:t>
            </w:r>
          </w:p>
        </w:tc>
      </w:tr>
      <w:tr>
        <w:trPr/>
        <w:tc>
          <w:tcPr>
            <w:tcW w:type="pct" w:w="2500"/>
            <w:tcBorders/>
          </w:tcPr>
          <w:p>
            <w:pPr>
              <w:pBdr/>
              <w:spacing/>
              <w:jc w:val="left"/>
              <w:rPr/>
            </w:pPr>
            <w:r>
              <w:rPr>
                <w:sz w:val="24"/>
              </w:rPr>
              <w:t xml:space="preserve">Minimum side yard </w:t>
            </w:r>
          </w:p>
        </w:tc>
        <w:tc>
          <w:tcPr>
            <w:tcW w:type="pct" w:w="833"/>
            <w:tcBorders/>
          </w:tcPr>
          <w:p>
            <w:pPr>
              <w:pBdr/>
              <w:spacing/>
              <w:jc w:val="left"/>
              <w:rPr/>
            </w:pPr>
            <w:r>
              <w:rPr>
                <w:sz w:val="24"/>
              </w:rPr>
              <w:t xml:space="preserve">None </w:t>
            </w:r>
          </w:p>
        </w:tc>
        <w:tc>
          <w:tcPr>
            <w:tcW w:type="pct" w:w="833"/>
            <w:tcBorders/>
          </w:tcPr>
          <w:p>
            <w:pPr>
              <w:pBdr/>
              <w:spacing/>
              <w:jc w:val="left"/>
              <w:rPr/>
            </w:pPr>
            <w:r>
              <w:rPr>
                <w:sz w:val="24"/>
              </w:rPr>
              <w:t xml:space="preserve">None </w:t>
            </w:r>
          </w:p>
        </w:tc>
        <w:tc>
          <w:tcPr>
            <w:tcW w:type="pct" w:w="833"/>
            <w:tcBorders/>
          </w:tcPr>
          <w:p>
            <w:pPr>
              <w:pBdr/>
              <w:spacing/>
              <w:jc w:val="left"/>
              <w:rPr/>
            </w:pPr>
            <w:r>
              <w:rPr>
                <w:sz w:val="24"/>
              </w:rPr>
              <w:t xml:space="preserve">6 feet </w:t>
            </w:r>
          </w:p>
        </w:tc>
      </w:tr>
      <w:tr>
        <w:trPr/>
        <w:tc>
          <w:tcPr>
            <w:tcW w:type="pct" w:w="2500"/>
            <w:tcBorders/>
          </w:tcPr>
          <w:p>
            <w:pPr>
              <w:pBdr/>
              <w:spacing/>
              <w:jc w:val="left"/>
              <w:rPr/>
            </w:pPr>
            <w:r>
              <w:rPr>
                <w:sz w:val="24"/>
              </w:rPr>
              <w:t xml:space="preserve">Minimum side or rear yard adjacent to street </w:t>
            </w:r>
          </w:p>
        </w:tc>
        <w:tc>
          <w:tcPr>
            <w:tcW w:type="pct" w:w="833"/>
            <w:tcBorders/>
          </w:tcPr>
          <w:p>
            <w:pPr>
              <w:pBdr/>
              <w:spacing/>
              <w:jc w:val="left"/>
              <w:rPr/>
            </w:pPr>
            <w:r>
              <w:rPr>
                <w:sz w:val="24"/>
              </w:rPr>
              <w:t xml:space="preserve">10 ft. </w:t>
            </w:r>
          </w:p>
        </w:tc>
        <w:tc>
          <w:tcPr>
            <w:tcW w:type="pct" w:w="833"/>
            <w:tcBorders/>
          </w:tcPr>
          <w:p>
            <w:pPr>
              <w:pBdr/>
              <w:spacing/>
              <w:jc w:val="left"/>
              <w:rPr/>
            </w:pPr>
            <w:r>
              <w:rPr>
                <w:sz w:val="24"/>
              </w:rPr>
              <w:t xml:space="preserve">10 ft. </w:t>
            </w:r>
          </w:p>
        </w:tc>
        <w:tc>
          <w:tcPr>
            <w:tcW w:type="pct" w:w="833"/>
            <w:tcBorders/>
          </w:tcPr>
          <w:p>
            <w:pPr>
              <w:pBdr/>
              <w:spacing/>
              <w:jc w:val="left"/>
              <w:rPr/>
            </w:pPr>
            <w:r>
              <w:rPr>
                <w:sz w:val="24"/>
              </w:rPr>
              <w:t xml:space="preserve">10 ft. </w:t>
            </w:r>
          </w:p>
        </w:tc>
      </w:tr>
      <w:tr>
        <w:trPr/>
        <w:tc>
          <w:tcPr>
            <w:tcW w:type="pct" w:w="2500"/>
            <w:tcBorders/>
          </w:tcPr>
          <w:p>
            <w:pPr>
              <w:pBdr/>
              <w:spacing/>
              <w:jc w:val="left"/>
              <w:rPr/>
            </w:pPr>
            <w:r>
              <w:rPr>
                <w:sz w:val="24"/>
              </w:rPr>
              <w:t xml:space="preserve">Minimum side or rear yard when abutting residential zone </w:t>
            </w:r>
          </w:p>
        </w:tc>
        <w:tc>
          <w:tcPr>
            <w:tcW w:type="pct" w:w="833"/>
            <w:tcBorders/>
          </w:tcPr>
          <w:p>
            <w:pPr>
              <w:pBdr/>
              <w:spacing/>
              <w:jc w:val="left"/>
              <w:rPr/>
            </w:pPr>
            <w:r>
              <w:rPr>
                <w:sz w:val="24"/>
              </w:rPr>
              <w:t xml:space="preserve">10 feet, plus one foot for each foot of building height above 30 feet. </w:t>
            </w:r>
          </w:p>
        </w:tc>
        <w:tc>
          <w:tcPr>
            <w:tcW w:type="pct" w:w="833"/>
            <w:tcBorders/>
          </w:tcPr>
          <w:p>
            <w:pPr>
              <w:pBdr/>
              <w:spacing/>
              <w:jc w:val="left"/>
              <w:rPr/>
            </w:pPr>
            <w:r>
              <w:rPr>
                <w:sz w:val="24"/>
              </w:rPr>
              <w:t xml:space="preserve">10 feet, plus one foot for each foot of building height above 30 feet. </w:t>
            </w:r>
          </w:p>
        </w:tc>
        <w:tc>
          <w:tcPr>
            <w:tcW w:type="pct" w:w="833"/>
            <w:tcBorders/>
          </w:tcPr>
          <w:p>
            <w:pPr>
              <w:pBdr/>
              <w:spacing/>
              <w:jc w:val="left"/>
              <w:rPr/>
            </w:pPr>
            <w:r>
              <w:rPr>
                <w:sz w:val="24"/>
              </w:rPr>
              <w:t xml:space="preserve">10 feet, plus one foot for each foot of building height above 30 feet. </w:t>
            </w:r>
          </w:p>
        </w:tc>
      </w:tr>
      <w:tr>
        <w:trPr/>
        <w:tc>
          <w:tcPr>
            <w:tcW w:type="pct" w:w="2500"/>
            <w:tcBorders/>
          </w:tcPr>
          <w:p>
            <w:pPr>
              <w:pBdr/>
              <w:spacing/>
              <w:jc w:val="left"/>
              <w:rPr/>
            </w:pPr>
            <w:r>
              <w:rPr>
                <w:sz w:val="24"/>
              </w:rPr>
              <w:t xml:space="preserve">Maximum FAR </w:t>
            </w:r>
          </w:p>
        </w:tc>
        <w:tc>
          <w:tcPr>
            <w:tcW w:type="pct" w:w="833"/>
            <w:tcBorders/>
          </w:tcPr>
          <w:p>
            <w:pPr>
              <w:pBdr/>
              <w:spacing/>
              <w:jc w:val="left"/>
              <w:rPr/>
            </w:pPr>
            <w:r>
              <w:rPr>
                <w:sz w:val="24"/>
              </w:rPr>
              <w:t xml:space="preserve">0.75 </w:t>
            </w:r>
          </w:p>
        </w:tc>
        <w:tc>
          <w:tcPr>
            <w:tcW w:type="pct" w:w="833"/>
            <w:tcBorders/>
          </w:tcPr>
          <w:p>
            <w:pPr>
              <w:pBdr/>
              <w:spacing/>
              <w:jc w:val="left"/>
              <w:rPr/>
            </w:pPr>
            <w:r>
              <w:rPr>
                <w:sz w:val="24"/>
              </w:rPr>
              <w:t xml:space="preserve">0.75 </w:t>
            </w:r>
          </w:p>
        </w:tc>
        <w:tc>
          <w:tcPr>
            <w:tcW w:type="pct" w:w="833"/>
            <w:tcBorders/>
          </w:tcPr>
          <w:p>
            <w:pPr>
              <w:pBdr/>
              <w:spacing/>
              <w:jc w:val="left"/>
              <w:rPr/>
            </w:pPr>
            <w:r>
              <w:rPr>
                <w:sz w:val="24"/>
              </w:rPr>
              <w:t xml:space="preserve">0.75 </w:t>
            </w:r>
          </w:p>
        </w:tc>
      </w:tr>
      <w:tr>
        <w:trPr/>
        <w:tc>
          <w:tcPr>
            <w:tcW w:type="pct" w:w="2500"/>
            <w:tcBorders/>
          </w:tcPr>
          <w:p>
            <w:pPr>
              <w:pBdr/>
              <w:spacing/>
              <w:jc w:val="left"/>
              <w:rPr/>
            </w:pPr>
            <w:r>
              <w:rPr>
                <w:sz w:val="24"/>
              </w:rPr>
              <w:t xml:space="preserve">Maximum lot coverage, except agricultural buildings </w:t>
            </w:r>
          </w:p>
        </w:tc>
        <w:tc>
          <w:tcPr>
            <w:tcW w:type="pct" w:w="833"/>
            <w:tcBorders/>
          </w:tcPr>
          <w:p>
            <w:pPr>
              <w:pBdr/>
              <w:spacing/>
              <w:jc w:val="left"/>
              <w:rPr/>
            </w:pPr>
            <w:r>
              <w:rPr>
                <w:sz w:val="24"/>
              </w:rPr>
              <w:t xml:space="preserve">75% </w:t>
            </w:r>
          </w:p>
        </w:tc>
        <w:tc>
          <w:tcPr>
            <w:tcW w:type="pct" w:w="833"/>
            <w:tcBorders/>
          </w:tcPr>
          <w:p>
            <w:pPr>
              <w:pBdr/>
              <w:spacing/>
              <w:jc w:val="left"/>
              <w:rPr/>
            </w:pPr>
            <w:r>
              <w:rPr>
                <w:sz w:val="24"/>
              </w:rPr>
              <w:t xml:space="preserve">85% </w:t>
            </w:r>
          </w:p>
        </w:tc>
        <w:tc>
          <w:tcPr>
            <w:tcW w:type="pct" w:w="833"/>
            <w:tcBorders/>
          </w:tcPr>
          <w:p>
            <w:pPr>
              <w:pBdr/>
              <w:spacing/>
              <w:jc w:val="left"/>
              <w:rPr/>
            </w:pPr>
            <w:r>
              <w:rPr>
                <w:sz w:val="24"/>
              </w:rPr>
              <w:t xml:space="preserve">95% </w:t>
            </w:r>
          </w:p>
        </w:tc>
      </w:tr>
      <w:tr>
        <w:trPr/>
        <w:tc>
          <w:tcPr>
            <w:tcW w:type="pct" w:w="2500"/>
            <w:tcBorders/>
          </w:tcPr>
          <w:p>
            <w:pPr>
              <w:pBdr/>
              <w:spacing/>
              <w:jc w:val="left"/>
              <w:rPr/>
            </w:pPr>
            <w:r>
              <w:rPr>
                <w:sz w:val="24"/>
              </w:rPr>
              <w:t xml:space="preserve">Minimum landscaped area </w:t>
            </w:r>
          </w:p>
        </w:tc>
        <w:tc>
          <w:tcPr>
            <w:tcW w:type="pct" w:w="833"/>
            <w:tcBorders/>
          </w:tcPr>
          <w:p>
            <w:pPr>
              <w:pBdr/>
              <w:spacing/>
              <w:jc w:val="left"/>
              <w:rPr/>
            </w:pPr>
            <w:r>
              <w:rPr>
                <w:sz w:val="24"/>
              </w:rPr>
              <w:t xml:space="preserve">25% </w:t>
            </w:r>
          </w:p>
        </w:tc>
        <w:tc>
          <w:tcPr>
            <w:tcW w:type="pct" w:w="833"/>
            <w:tcBorders/>
          </w:tcPr>
          <w:p>
            <w:pPr>
              <w:pBdr/>
              <w:spacing/>
              <w:jc w:val="left"/>
              <w:rPr/>
            </w:pPr>
            <w:r>
              <w:rPr>
                <w:sz w:val="24"/>
              </w:rPr>
              <w:t xml:space="preserve">15% </w:t>
            </w:r>
          </w:p>
        </w:tc>
        <w:tc>
          <w:tcPr>
            <w:tcW w:type="pct" w:w="833"/>
            <w:tcBorders/>
          </w:tcPr>
          <w:p>
            <w:pPr>
              <w:pBdr/>
              <w:spacing/>
              <w:jc w:val="left"/>
              <w:rPr/>
            </w:pPr>
            <w:r>
              <w:rPr>
                <w:sz w:val="24"/>
              </w:rPr>
              <w:t xml:space="preserve">5% </w:t>
            </w:r>
          </w:p>
        </w:tc>
      </w:tr>
      <w:tr>
        <w:trPr/>
        <w:tc>
          <w:tcPr>
            <w:tcW w:type="pct" w:w="2500"/>
            <w:tcBorders/>
          </w:tcPr>
          <w:p>
            <w:pPr>
              <w:pBdr/>
              <w:spacing/>
              <w:jc w:val="left"/>
              <w:rPr/>
            </w:pPr>
            <w:r>
              <w:rPr>
                <w:sz w:val="24"/>
              </w:rPr>
              <w:t xml:space="preserve">Maximum building height </w:t>
            </w:r>
          </w:p>
        </w:tc>
        <w:tc>
          <w:tcPr>
            <w:tcW w:type="pct" w:w="833"/>
            <w:tcBorders/>
          </w:tcPr>
          <w:p>
            <w:pPr>
              <w:pBdr/>
              <w:spacing/>
              <w:jc w:val="left"/>
              <w:rPr/>
            </w:pPr>
            <w:r>
              <w:rPr>
                <w:sz w:val="24"/>
              </w:rPr>
              <w:t xml:space="preserve">65 feet </w:t>
            </w:r>
          </w:p>
        </w:tc>
        <w:tc>
          <w:tcPr>
            <w:tcW w:type="pct" w:w="833"/>
            <w:tcBorders/>
          </w:tcPr>
          <w:p>
            <w:pPr>
              <w:pBdr/>
              <w:spacing/>
              <w:jc w:val="left"/>
              <w:rPr/>
            </w:pPr>
            <w:r>
              <w:rPr>
                <w:sz w:val="24"/>
              </w:rPr>
              <w:t xml:space="preserve">65 feet </w:t>
            </w:r>
          </w:p>
        </w:tc>
        <w:tc>
          <w:tcPr>
            <w:tcW w:type="pct" w:w="833"/>
            <w:tcBorders/>
          </w:tcPr>
          <w:p>
            <w:pPr>
              <w:pBdr/>
              <w:spacing/>
              <w:jc w:val="left"/>
              <w:rPr/>
            </w:pPr>
            <w:r>
              <w:rPr>
                <w:sz w:val="24"/>
              </w:rPr>
              <w:t xml:space="preserve">100 feet </w:t>
            </w:r>
          </w:p>
        </w:tc>
      </w:tr>
    </w:tbl>
    <w:p>
      <w:pPr>
        <w:pBdr/>
        <w:spacing/>
        <w:rPr/>
      </w:pPr>
    </w:p>
    <w:p>
      <w:pPr>
        <w:pStyle w:val="Hang1"/>
        <w:pBdr/>
        <w:spacing/>
        <w:rPr/>
      </w:pPr>
      <w:r>
        <w:rPr>
          <w:vertAlign w:val="superscript"/>
        </w:rPr>
        <w:t xml:space="preserve">1 </w:t>
      </w:r>
      <w:r>
        <w:rPr>
          <w:rStyle w:val="Hang1"/>
        </w:rPr>
        <w:t xml:space="preserve">Unless otherwise specified in </w:t>
      </w:r>
      <w:r>
        <w:rPr/>
        <w:t xml:space="preserve">section 9-15-9</w:t>
      </w:r>
      <w:r>
        <w:rPr>
          <w:rStyle w:val="Hang1"/>
        </w:rPr>
        <w:t xml:space="preserve">. </w:t>
      </w:r>
    </w:p>
    <w:p>
      <w:pPr>
        <w:pStyle w:val="Hang1"/>
        <w:pBdr/>
        <w:spacing/>
        <w:rPr/>
      </w:pPr>
      <w:r>
        <w:rPr>
          <w:vertAlign w:val="superscript"/>
        </w:rPr>
        <w:t xml:space="preserve">2 </w:t>
      </w:r>
      <w:r>
        <w:rPr>
          <w:rStyle w:val="Hang1"/>
        </w:rPr>
        <w:t xml:space="preserve">Except for lots entirely fronting turnaround areas of cul-de-sacs, the lot width shall be measured beginning at the front lot line and maintained for the entire minimum lot depth. For lots entirely fronting turnaround areas of cul-de-sacs, the lot width shall be measured beginning at the minimum required front setback line and maintained for the remaining portion of the minimum lot depth. </w:t>
      </w:r>
    </w:p>
    <w:p>
      <w:pPr>
        <w:pStyle w:val="HistoryNote"/>
        <w:pBdr/>
        <w:spacing/>
        <w:rPr/>
      </w:pPr>
      <w:r>
        <w:rPr>
          <w:rStyle w:val="HistoryNote"/>
        </w:rPr>
        <w:t xml:space="preserve">(Ord. of 12-5-2000, § 1; Ord. of 11-6-2001, § 2; Ord. of 6-3-2008; § 1; Ord. of 12-7-2010, § 7)</w:t>
      </w:r>
    </w:p>
    <w:p>
      <w:pPr>
        <w:pBdr/>
        <w:spacing w:before="0" w:after="0"/>
        <w:rPr/>
        <w:sectPr>
          <w:headerReference w:type="default" r:id="rId9"/>
          <w:footerReference w:type="default" r:id="rId10"/>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9-11-5.</w:t>
      </w:r>
      <w:r>
        <w:rPr/>
        <w:t xml:space="preserve"> </w:t>
      </w:r>
      <w:r>
        <w:rPr/>
        <w:t xml:space="preserve">E-I (Employment-Industrial) and I (Industrial) performance standards for industrial category uses.</w:t>
      </w:r>
    </w:p>
    <w:p>
      <w:pPr>
        <w:pStyle w:val="List1"/>
        <w:pBdr/>
        <w:spacing/>
        <w:rPr/>
      </w:pPr>
      <w:r>
        <w:rPr/>
        <w:t xml:space="preserve">A.</w:t>
      </w:r>
      <w:r>
        <w:rPr/>
        <w:tab/>
        <w:t xml:space="preserve"/>
      </w:r>
      <w:r>
        <w:rPr/>
        <w:t xml:space="preserve">Industrial uses. Performance standards for uses in the E-I (Employment-Industrial) and the I (Industrial) zones are designed to accomplish the intent of these districts. That intent protects both the community and proposed uses from abuse and negative impacts, while encouraging appropriate development to occur. To that end, industrial uses in the E-I (Employment-Industrial) and the I (Industrial) zones are determined to be permitted through several thresholds. Three threshold levels exist that will be reviewed either as a site review or special use permit. Level I uses are those that do not exceed specified criteria and do not require governmental funded infrastructure improvements; these are reviewed as site reviews. Level II uses are those that have exceeded the minimum thresholds for Level I or require governmental funding of infrastructure improvements; this is a site review decision. Level III uses are those that are specifically listed within this section or uses that exceed Level II requirements, and will be reviewed as a special use permit. Uses which exceed any of the thresholds are not automatically prohibited, but instead require additional review by the assigned decision-maker, according to level. </w:t>
      </w:r>
    </w:p>
    <w:p>
      <w:pPr>
        <w:pStyle w:val="List2"/>
        <w:pBdr/>
        <w:spacing/>
        <w:rPr/>
      </w:pPr>
      <w:r>
        <w:rPr/>
        <w:t xml:space="preserve">1.</w:t>
      </w:r>
      <w:r>
        <w:rPr/>
        <w:tab/>
        <w:t xml:space="preserve"/>
      </w:r>
      <w:r>
        <w:rPr>
          <w:i/>
        </w:rPr>
        <w:t xml:space="preserve">Level I.</w:t>
      </w:r>
      <w:r>
        <w:rPr/>
        <w:t xml:space="preserve"> All uses are permitted, provided that they do not exceed the following criteria, do not require governmental funded infrastructure improvements and are not defined in Level III. </w:t>
      </w:r>
    </w:p>
    <w:p>
      <w:pPr>
        <w:pStyle w:val="List3"/>
        <w:pBdr/>
        <w:spacing/>
        <w:rPr/>
      </w:pPr>
      <w:r>
        <w:rPr/>
        <w:t xml:space="preserve">a.</w:t>
      </w:r>
      <w:r>
        <w:rPr/>
        <w:tab/>
        <w:t xml:space="preserve"/>
      </w:r>
      <w:r>
        <w:rPr>
          <w:i/>
        </w:rPr>
        <w:t xml:space="preserve">Water.</w:t>
      </w:r>
      <w:r>
        <w:rPr/>
        <w:t xml:space="preserve"> If the following threshold is exceeded, the use shall be reviewed as a Level II: </w:t>
      </w:r>
    </w:p>
    <w:p>
      <w:pPr>
        <w:pStyle w:val="List4"/>
        <w:pBdr/>
        <w:spacing/>
        <w:rPr/>
      </w:pPr>
      <w:r>
        <w:rPr/>
        <w:t xml:space="preserve">(1)</w:t>
      </w:r>
      <w:r>
        <w:rPr/>
        <w:tab/>
        <w:t xml:space="preserve"/>
      </w:r>
      <w:r>
        <w:rPr/>
        <w:t xml:space="preserve">Peak demand total of 200 GPM (gallons per minute); or </w:t>
      </w:r>
    </w:p>
    <w:p>
      <w:pPr>
        <w:pStyle w:val="List4"/>
        <w:pBdr/>
        <w:spacing/>
        <w:rPr/>
      </w:pPr>
      <w:r>
        <w:rPr/>
        <w:t xml:space="preserve">(2)</w:t>
      </w:r>
      <w:r>
        <w:rPr/>
        <w:tab/>
        <w:t xml:space="preserve"/>
      </w:r>
      <w:r>
        <w:rPr/>
        <w:t xml:space="preserve">250,000 GPD (gallons per day). </w:t>
      </w:r>
    </w:p>
    <w:p>
      <w:pPr>
        <w:pStyle w:val="Block4"/>
        <w:pBdr/>
        <w:spacing/>
        <w:rPr/>
      </w:pPr>
      <w:r>
        <w:rPr>
          <w:rStyle w:val="Block4"/>
        </w:rPr>
        <w:t xml:space="preserve">(The above figures are not to be used for fire protection flow rates.) </w:t>
      </w:r>
    </w:p>
    <w:p>
      <w:pPr>
        <w:pStyle w:val="List3"/>
        <w:pBdr/>
        <w:spacing/>
        <w:rPr/>
      </w:pPr>
      <w:r>
        <w:rPr/>
        <w:t xml:space="preserve">b.</w:t>
      </w:r>
      <w:r>
        <w:rPr/>
        <w:tab/>
        <w:t xml:space="preserve"/>
      </w:r>
      <w:r>
        <w:rPr>
          <w:i/>
        </w:rPr>
        <w:t xml:space="preserve">Wastewater.</w:t>
      </w:r>
      <w:r>
        <w:rPr/>
        <w:t xml:space="preserve"> If any of the following thresholds are exceeded, the use shall be reviewed as a Level II: </w:t>
      </w:r>
    </w:p>
    <w:p>
      <w:pPr>
        <w:pStyle w:val="List4"/>
        <w:pBdr/>
        <w:spacing/>
        <w:rPr/>
      </w:pPr>
      <w:r>
        <w:rPr/>
        <w:t xml:space="preserve">(1)</w:t>
      </w:r>
      <w:r>
        <w:rPr/>
        <w:tab/>
        <w:t xml:space="preserve"/>
      </w:r>
      <w:r>
        <w:rPr/>
        <w:t xml:space="preserve">Site specific allocations; or </w:t>
      </w:r>
    </w:p>
    <w:p>
      <w:pPr>
        <w:pStyle w:val="List4"/>
        <w:pBdr/>
        <w:spacing/>
        <w:rPr/>
      </w:pPr>
      <w:r>
        <w:rPr/>
        <w:t xml:space="preserve">(2)</w:t>
      </w:r>
      <w:r>
        <w:rPr/>
        <w:tab/>
        <w:t xml:space="preserve"/>
      </w:r>
      <w:r>
        <w:rPr/>
        <w:t xml:space="preserve">Per requirements of the Unified Government of Athens-Clarke County Sewer Use Ordinance; or </w:t>
      </w:r>
    </w:p>
    <w:p>
      <w:pPr>
        <w:pStyle w:val="List4"/>
        <w:pBdr/>
        <w:spacing/>
        <w:rPr/>
      </w:pPr>
      <w:r>
        <w:rPr/>
        <w:t xml:space="preserve">(3)</w:t>
      </w:r>
      <w:r>
        <w:rPr/>
        <w:tab/>
        <w:t xml:space="preserve"/>
      </w:r>
      <w:r>
        <w:rPr/>
        <w:t xml:space="preserve">Demand exceeding 100,000 GPD (gallons per day). </w:t>
      </w:r>
    </w:p>
    <w:p>
      <w:pPr>
        <w:pStyle w:val="List3"/>
        <w:pBdr/>
        <w:spacing/>
        <w:rPr/>
      </w:pPr>
      <w:r>
        <w:rPr/>
        <w:t xml:space="preserve">c.</w:t>
      </w:r>
      <w:r>
        <w:rPr/>
        <w:tab/>
        <w:t xml:space="preserve"/>
      </w:r>
      <w:r>
        <w:rPr>
          <w:i/>
        </w:rPr>
        <w:t xml:space="preserve">Vibration (ground or air transmitted).</w:t>
      </w:r>
      <w:r>
        <w:rPr/>
        <w:t xml:space="preserve"> If the following standards are exceeded, the proposed use(s), within this category, must be reviewed as Level II: </w:t>
      </w:r>
    </w:p>
    <w:p>
      <w:pPr>
        <w:pStyle w:val="List4"/>
        <w:pBdr/>
        <w:spacing/>
        <w:rPr/>
      </w:pPr>
      <w:r>
        <w:rPr/>
        <w:t xml:space="preserve">(1)</w:t>
      </w:r>
      <w:r>
        <w:rPr/>
        <w:tab/>
        <w:t xml:space="preserve"/>
      </w:r>
      <w:r>
        <w:rPr/>
        <w:t xml:space="preserve">Adjacent to nonresidential properties: </w:t>
      </w:r>
    </w:p>
    <w:p>
      <w:pPr>
        <w:pStyle w:val="Block5"/>
        <w:pBdr/>
        <w:spacing/>
        <w:rPr/>
      </w:pPr>
      <w:r>
        <w:rPr>
          <w:i/>
        </w:rPr>
        <w:t xml:space="preserve">Frequency</w:t>
      </w:r>
      <w:r>
        <w:rPr/>
        <w:br/>
      </w:r>
      <w:r>
        <w:rPr>
          <w:rStyle w:val="Block5"/>
        </w:rPr>
        <w:t xml:space="preserve">Peak Particle Velocity </w:t>
      </w:r>
      <w:r>
        <w:rPr/>
        <w:br/>
      </w:r>
      <w:r>
        <w:rPr>
          <w:rStyle w:val="Block5"/>
        </w:rPr>
        <w:t xml:space="preserve">&gt;40 hz </w:t>
      </w:r>
      <w:r>
        <w:rPr/>
        <w:br/>
      </w:r>
      <w:r>
        <w:rPr>
          <w:rStyle w:val="Block5"/>
        </w:rPr>
        <w:t xml:space="preserve">¾" per sec.* </w:t>
      </w:r>
      <w:r>
        <w:rPr/>
        <w:br/>
      </w:r>
      <w:r>
        <w:rPr>
          <w:rStyle w:val="Block5"/>
        </w:rPr>
        <w:t xml:space="preserve">&gt;40 hz </w:t>
      </w:r>
      <w:r>
        <w:rPr/>
        <w:br/>
      </w:r>
      <w:r>
        <w:rPr>
          <w:rStyle w:val="Block5"/>
        </w:rPr>
        <w:t xml:space="preserve">2" per sec.* </w:t>
      </w:r>
      <w:r>
        <w:rPr/>
        <w:br/>
      </w:r>
      <w:r>
        <w:rPr>
          <w:rStyle w:val="Block5"/>
        </w:rPr>
        <w:t xml:space="preserve">*Measured at the property line </w:t>
      </w:r>
    </w:p>
    <w:p>
      <w:pPr>
        <w:pStyle w:val="List4"/>
        <w:pBdr/>
        <w:spacing/>
        <w:rPr/>
      </w:pPr>
      <w:r>
        <w:rPr/>
        <w:t xml:space="preserve">(2)</w:t>
      </w:r>
      <w:r>
        <w:rPr/>
        <w:tab/>
        <w:t xml:space="preserve"/>
      </w:r>
      <w:r>
        <w:rPr/>
        <w:t xml:space="preserve">Adjacent to residential properties: Peak particle velocity 0.25" per second or 115 dbl (decibel peak linear), measured outside at ground level at closest residential structure. It is the intent of this section to regulate ground or air vibration in such a manner as to prohibit structural damage to adjacent uses. </w:t>
      </w:r>
    </w:p>
    <w:p>
      <w:pPr>
        <w:pStyle w:val="List3"/>
        <w:pBdr/>
        <w:spacing/>
        <w:rPr/>
      </w:pPr>
      <w:r>
        <w:rPr/>
        <w:t xml:space="preserve">d.</w:t>
      </w:r>
      <w:r>
        <w:rPr/>
        <w:tab/>
        <w:t xml:space="preserve"/>
      </w:r>
      <w:r>
        <w:rPr>
          <w:i/>
        </w:rPr>
        <w:t xml:space="preserve">Fire and explosion.</w:t>
      </w:r>
      <w:r>
        <w:rPr/>
        <w:t xml:space="preserve"> Per requirements of current local and state fire regulations. </w:t>
      </w:r>
    </w:p>
    <w:p>
      <w:pPr>
        <w:pStyle w:val="List3"/>
        <w:pBdr/>
        <w:spacing/>
        <w:rPr/>
      </w:pPr>
      <w:r>
        <w:rPr/>
        <w:t xml:space="preserve">e.</w:t>
      </w:r>
      <w:r>
        <w:rPr/>
        <w:tab/>
        <w:t xml:space="preserve"/>
      </w:r>
      <w:r>
        <w:rPr>
          <w:i/>
        </w:rPr>
        <w:t xml:space="preserve">Traffic.</w:t>
      </w:r>
      <w:r>
        <w:rPr/>
        <w:t xml:space="preserve"> If the following are exceeded, the proposed use, within this category, must be reviewed as Level II: </w:t>
      </w:r>
    </w:p>
    <w:p>
      <w:pPr>
        <w:pStyle w:val="List4"/>
        <w:pBdr/>
        <w:spacing/>
        <w:rPr/>
      </w:pPr>
      <w:r>
        <w:rPr/>
        <w:t xml:space="preserve">(1)</w:t>
      </w:r>
      <w:r>
        <w:rPr/>
        <w:tab/>
        <w:t xml:space="preserve"/>
      </w:r>
      <w:r>
        <w:rPr/>
        <w:t xml:space="preserve">Site allocation, as denoted on the traffic volume inventory located in the Athens-Clarke County Planning Department. All allocations are based on roadway capacity at level of service "D" for the road or street; or, lacking any site specific information, the following standards will be used: </w:t>
      </w:r>
    </w:p>
    <w:p>
      <w:pPr>
        <w:pStyle w:val="List4"/>
        <w:pBdr/>
        <w:spacing/>
        <w:rPr/>
      </w:pPr>
      <w:r>
        <w:rPr/>
        <w:t xml:space="preserve">(2)</w:t>
      </w:r>
      <w:r>
        <w:rPr/>
        <w:tab/>
        <w:t xml:space="preserve"/>
      </w:r>
      <w:r>
        <w:rPr/>
        <w:t xml:space="preserve">100 peak hour trip ends; or </w:t>
      </w:r>
    </w:p>
    <w:p>
      <w:pPr>
        <w:pStyle w:val="List4"/>
        <w:pBdr/>
        <w:spacing/>
        <w:rPr/>
      </w:pPr>
      <w:r>
        <w:rPr/>
        <w:t xml:space="preserve">(3)</w:t>
      </w:r>
      <w:r>
        <w:rPr/>
        <w:tab/>
        <w:t xml:space="preserve"/>
      </w:r>
      <w:r>
        <w:rPr/>
        <w:t xml:space="preserve">Truck traffic comprising fifty percent or more of the site generated average weekday trip ends. </w:t>
      </w:r>
    </w:p>
    <w:p>
      <w:pPr>
        <w:pStyle w:val="Block4"/>
        <w:pBdr/>
        <w:spacing/>
        <w:rPr/>
      </w:pPr>
      <w:r>
        <w:rPr>
          <w:rStyle w:val="Block4"/>
        </w:rPr>
        <w:t xml:space="preserve">Traffic generation rates will be based on the </w:t>
      </w:r>
      <w:r>
        <w:rPr>
          <w:i/>
        </w:rPr>
        <w:t xml:space="preserve">Institute of Traffic Engineers Trip Generation Manual</w:t>
      </w:r>
      <w:r>
        <w:rPr>
          <w:rStyle w:val="Block4"/>
        </w:rPr>
        <w:t xml:space="preserve"> (current edition). </w:t>
      </w:r>
    </w:p>
    <w:p>
      <w:pPr>
        <w:pStyle w:val="List3"/>
        <w:pBdr/>
        <w:spacing/>
        <w:rPr/>
      </w:pPr>
      <w:r>
        <w:rPr/>
        <w:t xml:space="preserve">f.</w:t>
      </w:r>
      <w:r>
        <w:rPr/>
        <w:tab/>
        <w:t xml:space="preserve"/>
      </w:r>
      <w:r>
        <w:rPr>
          <w:i/>
        </w:rPr>
        <w:t xml:space="preserve">Solid waste generation.</w:t>
      </w:r>
      <w:r>
        <w:rPr/>
        <w:t xml:space="preserve"> Site specific criteria or 2,000 pounds per day of solid waste transported to landfill(s) under management of Athens-Clarke County. </w:t>
      </w:r>
    </w:p>
    <w:p>
      <w:pPr>
        <w:pStyle w:val="List3"/>
        <w:pBdr/>
        <w:spacing/>
        <w:rPr/>
      </w:pPr>
      <w:r>
        <w:rPr/>
        <w:t xml:space="preserve">g.</w:t>
      </w:r>
      <w:r>
        <w:rPr/>
        <w:tab/>
        <w:t xml:space="preserve"/>
      </w:r>
      <w:r>
        <w:rPr>
          <w:i/>
        </w:rPr>
        <w:t xml:space="preserve">Odor.</w:t>
      </w:r>
      <w:r>
        <w:rPr/>
        <w:t xml:space="preserve"> No use shall be operated so as to produce the emission of objectionable or offensive odors in such concentration as to be readily perceptible at any point along the lot line of the property on which the use is located. It is the intent of this section to regulate odor in a manner to prohibit it from exceeding levels that would become a nuisance or hazard to adjacent property. </w:t>
      </w:r>
    </w:p>
    <w:p>
      <w:pPr>
        <w:pStyle w:val="List3"/>
        <w:pBdr/>
        <w:spacing/>
        <w:rPr/>
      </w:pPr>
      <w:r>
        <w:rPr/>
        <w:t xml:space="preserve">h.</w:t>
      </w:r>
      <w:r>
        <w:rPr/>
        <w:tab/>
        <w:t xml:space="preserve"/>
      </w:r>
      <w:r>
        <w:rPr>
          <w:i/>
        </w:rPr>
        <w:t xml:space="preserve">Noise.</w:t>
      </w:r>
      <w:r>
        <w:rPr/>
        <w:t xml:space="preserve"> Noise levels shall comply with the following: </w:t>
      </w:r>
    </w:p>
    <w:tbl>
      <w:tblPr>
        <w:tblStyle w:val="Table1_941c3952-df28-450c-8c00-23f1b78939db"/>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3192"/>
        <w:gridCol w:w="3192"/>
        <w:gridCol w:w="3192"/>
      </w:tblGrid>
      <w:tr>
        <w:trPr/>
        <w:tc>
          <w:tcPr>
            <w:tcW w:type="pct" w:w="5000"/>
            <w:gridSpan w:val="3"/>
            <w:tcBorders/>
          </w:tcPr>
          <w:p>
            <w:pPr>
              <w:pBdr/>
              <w:spacing/>
              <w:jc w:val="left"/>
              <w:rPr/>
            </w:pPr>
            <w:r>
              <w:rPr>
                <w:sz w:val="22"/>
              </w:rPr>
              <w:t xml:space="preserve">Noise Levels (dB) Measured at Property Line </w:t>
            </w:r>
          </w:p>
        </w:tc>
      </w:tr>
      <w:tr>
        <w:trPr/>
        <w:tc>
          <w:tcPr>
            <w:tcW w:type="pct" w:w="1667"/>
            <w:tcBorders/>
          </w:tcPr>
          <w:p>
            <w:pPr>
              <w:pBdr/>
              <w:spacing/>
              <w:jc w:val="left"/>
              <w:rPr/>
            </w:pPr>
          </w:p>
        </w:tc>
        <w:tc>
          <w:tcPr>
            <w:tcW w:type="pct" w:w="1667"/>
            <w:tcBorders/>
          </w:tcPr>
          <w:p>
            <w:pPr>
              <w:pBdr/>
              <w:spacing/>
              <w:jc w:val="left"/>
              <w:rPr/>
            </w:pPr>
            <w:r>
              <w:rPr>
                <w:sz w:val="22"/>
              </w:rPr>
              <w:t xml:space="preserve">Adjacent to Residential Property Line </w:t>
            </w:r>
          </w:p>
        </w:tc>
        <w:tc>
          <w:tcPr>
            <w:tcW w:type="pct" w:w="1667"/>
            <w:tcBorders/>
          </w:tcPr>
          <w:p>
            <w:pPr>
              <w:pBdr/>
              <w:spacing/>
              <w:jc w:val="left"/>
              <w:rPr/>
            </w:pPr>
            <w:r>
              <w:rPr>
                <w:sz w:val="22"/>
              </w:rPr>
              <w:t xml:space="preserve">Adjacent to Nonresidential Property Line </w:t>
            </w:r>
          </w:p>
        </w:tc>
      </w:tr>
      <w:tr>
        <w:trPr/>
        <w:tc>
          <w:tcPr>
            <w:tcW w:type="pct" w:w="1667"/>
            <w:tcBorders/>
          </w:tcPr>
          <w:p>
            <w:pPr>
              <w:pBdr/>
              <w:spacing/>
              <w:jc w:val="left"/>
              <w:rPr/>
            </w:pPr>
            <w:r>
              <w:rPr>
                <w:sz w:val="22"/>
              </w:rPr>
              <w:t xml:space="preserve">7:00 a.m.—10:00 p.m. </w:t>
            </w:r>
          </w:p>
        </w:tc>
        <w:tc>
          <w:tcPr>
            <w:tcW w:type="pct" w:w="1667"/>
            <w:tcBorders/>
          </w:tcPr>
          <w:p>
            <w:pPr>
              <w:pBdr/>
              <w:spacing/>
              <w:jc w:val="left"/>
              <w:rPr/>
            </w:pPr>
            <w:r>
              <w:rPr>
                <w:sz w:val="22"/>
              </w:rPr>
              <w:t xml:space="preserve">70 </w:t>
            </w:r>
          </w:p>
        </w:tc>
        <w:tc>
          <w:tcPr>
            <w:tcW w:type="pct" w:w="1667"/>
            <w:tcBorders/>
          </w:tcPr>
          <w:p>
            <w:pPr>
              <w:pBdr/>
              <w:spacing/>
              <w:jc w:val="left"/>
              <w:rPr/>
            </w:pPr>
            <w:r>
              <w:rPr>
                <w:sz w:val="22"/>
              </w:rPr>
              <w:t xml:space="preserve">80 </w:t>
            </w:r>
          </w:p>
        </w:tc>
      </w:tr>
      <w:tr>
        <w:trPr/>
        <w:tc>
          <w:tcPr>
            <w:tcW w:type="pct" w:w="1667"/>
            <w:tcBorders/>
          </w:tcPr>
          <w:p>
            <w:pPr>
              <w:pBdr/>
              <w:spacing/>
              <w:jc w:val="left"/>
              <w:rPr/>
            </w:pPr>
            <w:r>
              <w:rPr>
                <w:sz w:val="22"/>
              </w:rPr>
              <w:t xml:space="preserve">10:00 p.m.—7:00 a.m. </w:t>
            </w:r>
          </w:p>
        </w:tc>
        <w:tc>
          <w:tcPr>
            <w:tcW w:type="pct" w:w="1667"/>
            <w:tcBorders/>
          </w:tcPr>
          <w:p>
            <w:pPr>
              <w:pBdr/>
              <w:spacing/>
              <w:jc w:val="left"/>
              <w:rPr/>
            </w:pPr>
            <w:r>
              <w:rPr>
                <w:sz w:val="22"/>
              </w:rPr>
              <w:t xml:space="preserve">55 </w:t>
            </w:r>
          </w:p>
        </w:tc>
        <w:tc>
          <w:tcPr>
            <w:tcW w:type="pct" w:w="1667"/>
            <w:tcBorders/>
          </w:tcPr>
          <w:p>
            <w:pPr>
              <w:pBdr/>
              <w:spacing/>
              <w:jc w:val="left"/>
              <w:rPr/>
            </w:pPr>
            <w:r>
              <w:rPr>
                <w:sz w:val="22"/>
              </w:rPr>
              <w:t xml:space="preserve">80 </w:t>
            </w:r>
          </w:p>
        </w:tc>
      </w:tr>
    </w:tbl>
    <w:p>
      <w:pPr>
        <w:pBdr/>
        <w:spacing/>
        <w:rPr/>
      </w:pPr>
    </w:p>
    <w:p>
      <w:pPr>
        <w:pStyle w:val="Block4"/>
        <w:pBdr/>
        <w:spacing/>
        <w:rPr/>
      </w:pPr>
      <w:r>
        <w:rPr>
          <w:rStyle w:val="Block4"/>
        </w:rPr>
        <w:t xml:space="preserve">Noise levels are measured as constant, consistent sounds and not intermittent noise. All measurements shall be taken at property lines. It is the intent of this section to regulate noise in a manner to prohibit it from exceeding levels of sound that could become a nuisance or hazard to adjacent property. </w:t>
      </w:r>
    </w:p>
    <w:p>
      <w:pPr>
        <w:pStyle w:val="List3"/>
        <w:pBdr/>
        <w:spacing/>
        <w:rPr/>
      </w:pPr>
      <w:r>
        <w:rPr/>
        <w:t xml:space="preserve">i.</w:t>
      </w:r>
      <w:r>
        <w:rPr/>
        <w:tab/>
        <w:t xml:space="preserve"/>
      </w:r>
      <w:r>
        <w:rPr>
          <w:i/>
        </w:rPr>
        <w:t xml:space="preserve">Glare.</w:t>
      </w:r>
      <w:r>
        <w:rPr/>
        <w:t xml:space="preserve"> Glare or light from any operation and all lighting for parking areas or for the external illumination of buildings or grounds shall be directed or located in a manner such that direct or indirect illumination from the source of light shall not exceed one-half foot-candle measured at any residential lot line. Outside lights for nonresidential properties/uses must be made up of a light source and reflector so that acting together the light beam is controlled and not directed across an adjacent property. It is the intent of this section to prevent light from spilling over to adjacent properties in amounts that can create negative impacts. </w:t>
      </w:r>
    </w:p>
    <w:p>
      <w:pPr>
        <w:pStyle w:val="List3"/>
        <w:pBdr/>
        <w:spacing/>
        <w:rPr/>
      </w:pPr>
      <w:r>
        <w:rPr/>
        <w:t xml:space="preserve">j.</w:t>
      </w:r>
      <w:r>
        <w:rPr/>
        <w:tab/>
        <w:t xml:space="preserve"/>
      </w:r>
      <w:r>
        <w:rPr>
          <w:i/>
        </w:rPr>
        <w:t xml:space="preserve">Stormwater.</w:t>
      </w:r>
      <w:r>
        <w:rPr/>
        <w:t xml:space="preserve"> Regulated by Athens Clarke County stormwater management policies. </w:t>
      </w:r>
    </w:p>
    <w:p>
      <w:pPr>
        <w:pStyle w:val="List2"/>
        <w:pBdr/>
        <w:spacing/>
        <w:rPr/>
      </w:pPr>
      <w:r>
        <w:rPr/>
        <w:t xml:space="preserve">2.</w:t>
      </w:r>
      <w:r>
        <w:rPr/>
        <w:tab/>
        <w:t xml:space="preserve"/>
      </w:r>
      <w:r>
        <w:rPr>
          <w:i/>
        </w:rPr>
        <w:t xml:space="preserve">Level II.</w:t>
      </w:r>
      <w:r>
        <w:rPr/>
        <w:t xml:space="preserve"> All uses, except those outlined in Level III, that exceed one of the locally specified criteria (water, wastewater, vibration, fire and explosion, traffic, solid waste, odor, noise, glare and stormwater) or that require locally funded infrastructure improvements. The decision as to whether it is an allowable use will be based on one of the following: </w:t>
      </w:r>
    </w:p>
    <w:p>
      <w:pPr>
        <w:pStyle w:val="List3"/>
        <w:pBdr/>
        <w:spacing/>
        <w:rPr/>
      </w:pPr>
      <w:r>
        <w:rPr/>
        <w:t xml:space="preserve">a.</w:t>
      </w:r>
      <w:r>
        <w:rPr/>
        <w:tab/>
        <w:t xml:space="preserve"/>
      </w:r>
      <w:r>
        <w:rPr/>
        <w:t xml:space="preserve">Review by staff to determine if proposed use is within capacity ranges and does not necessitate additional governmental expenditure or use reserve capacity; or </w:t>
      </w:r>
    </w:p>
    <w:p>
      <w:pPr>
        <w:pStyle w:val="List3"/>
        <w:pBdr/>
        <w:spacing/>
        <w:rPr/>
      </w:pPr>
      <w:r>
        <w:rPr/>
        <w:t xml:space="preserve">b.</w:t>
      </w:r>
      <w:r>
        <w:rPr/>
        <w:tab/>
        <w:t xml:space="preserve"/>
      </w:r>
      <w:r>
        <w:rPr/>
        <w:t xml:space="preserve">Reviewed by staff and does exceed capacities or use reserves and is forwarded to government officials for decision and an agreed upon financing plan between the government and the potential industry. </w:t>
      </w:r>
    </w:p>
    <w:p>
      <w:pPr>
        <w:pStyle w:val="List2"/>
        <w:pBdr/>
        <w:spacing/>
        <w:rPr/>
      </w:pPr>
      <w:r>
        <w:rPr/>
        <w:t xml:space="preserve">3.</w:t>
      </w:r>
      <w:r>
        <w:rPr/>
        <w:tab/>
        <w:t xml:space="preserve"/>
      </w:r>
      <w:r>
        <w:rPr>
          <w:i/>
        </w:rPr>
        <w:t xml:space="preserve">Level III.</w:t>
      </w:r>
    </w:p>
    <w:p>
      <w:pPr>
        <w:pStyle w:val="List3"/>
        <w:pBdr/>
        <w:spacing/>
        <w:rPr/>
      </w:pPr>
      <w:r>
        <w:rPr/>
        <w:t xml:space="preserve">a.</w:t>
      </w:r>
      <w:r>
        <w:rPr/>
        <w:tab/>
        <w:t xml:space="preserve"/>
      </w:r>
      <w:r>
        <w:rPr>
          <w:i/>
        </w:rPr>
        <w:t xml:space="preserve">Uses.</w:t>
      </w:r>
      <w:r>
        <w:rPr/>
        <w:t xml:space="preserve"> Uses in Level III will be those uses not covered by Levels I and II plus those principle uses listed below: </w:t>
      </w:r>
    </w:p>
    <w:p>
      <w:pPr>
        <w:pStyle w:val="List4"/>
        <w:pBdr/>
        <w:spacing/>
        <w:rPr/>
      </w:pPr>
      <w:r>
        <w:rPr/>
        <w:t xml:space="preserve">(1)</w:t>
      </w:r>
      <w:r>
        <w:rPr/>
        <w:tab/>
        <w:t xml:space="preserve"/>
      </w:r>
      <w:r>
        <w:rPr/>
        <w:t xml:space="preserve">Airports and landing fields; </w:t>
      </w:r>
    </w:p>
    <w:p>
      <w:pPr>
        <w:pStyle w:val="List4"/>
        <w:pBdr/>
        <w:spacing/>
        <w:rPr/>
      </w:pPr>
      <w:r>
        <w:rPr/>
        <w:t xml:space="preserve">(2)</w:t>
      </w:r>
      <w:r>
        <w:rPr/>
        <w:tab/>
        <w:t xml:space="preserve"/>
      </w:r>
      <w:r>
        <w:rPr/>
        <w:t xml:space="preserve">Reserved; </w:t>
      </w:r>
    </w:p>
    <w:p>
      <w:pPr>
        <w:pStyle w:val="List4"/>
        <w:pBdr/>
        <w:spacing/>
        <w:rPr/>
      </w:pPr>
      <w:r>
        <w:rPr/>
        <w:t xml:space="preserve">(3)</w:t>
      </w:r>
      <w:r>
        <w:rPr/>
        <w:tab/>
        <w:t xml:space="preserve"/>
      </w:r>
      <w:r>
        <w:rPr/>
        <w:t xml:space="preserve">Reserved; </w:t>
      </w:r>
    </w:p>
    <w:p>
      <w:pPr>
        <w:pStyle w:val="List4"/>
        <w:pBdr/>
        <w:spacing/>
        <w:rPr/>
      </w:pPr>
      <w:r>
        <w:rPr/>
        <w:t xml:space="preserve">(4)</w:t>
      </w:r>
      <w:r>
        <w:rPr/>
        <w:tab/>
        <w:t xml:space="preserve"/>
      </w:r>
      <w:r>
        <w:rPr/>
        <w:t xml:space="preserve">Explosives, including fire works manufacture or storage in bulk quantities; </w:t>
      </w:r>
    </w:p>
    <w:p>
      <w:pPr>
        <w:pStyle w:val="List4"/>
        <w:pBdr/>
        <w:spacing/>
        <w:rPr/>
      </w:pPr>
      <w:r>
        <w:rPr/>
        <w:t xml:space="preserve">(5)</w:t>
      </w:r>
      <w:r>
        <w:rPr/>
        <w:tab/>
        <w:t xml:space="preserve"/>
      </w:r>
      <w:r>
        <w:rPr/>
        <w:t xml:space="preserve">Garbage, offal, dead animal reduction or dumping; </w:t>
      </w:r>
    </w:p>
    <w:p>
      <w:pPr>
        <w:pStyle w:val="List4"/>
        <w:pBdr/>
        <w:spacing/>
        <w:rPr/>
      </w:pPr>
      <w:r>
        <w:rPr/>
        <w:t xml:space="preserve">(6)</w:t>
      </w:r>
      <w:r>
        <w:rPr/>
        <w:tab/>
        <w:t xml:space="preserve"/>
      </w:r>
      <w:r>
        <w:rPr/>
        <w:t xml:space="preserve">Reserved; </w:t>
      </w:r>
    </w:p>
    <w:p>
      <w:pPr>
        <w:pStyle w:val="List4"/>
        <w:pBdr/>
        <w:spacing/>
        <w:rPr/>
      </w:pPr>
      <w:r>
        <w:rPr/>
        <w:t xml:space="preserve">(7)</w:t>
      </w:r>
      <w:r>
        <w:rPr/>
        <w:tab/>
        <w:t xml:space="preserve"/>
      </w:r>
      <w:r>
        <w:rPr/>
        <w:t xml:space="preserve">Reserved; </w:t>
      </w:r>
    </w:p>
    <w:p>
      <w:pPr>
        <w:pStyle w:val="List4"/>
        <w:pBdr/>
        <w:spacing/>
        <w:rPr/>
      </w:pPr>
      <w:r>
        <w:rPr/>
        <w:t xml:space="preserve">(8)</w:t>
      </w:r>
      <w:r>
        <w:rPr/>
        <w:tab/>
        <w:t xml:space="preserve"/>
      </w:r>
      <w:r>
        <w:rPr/>
        <w:t xml:space="preserve">Reserved; </w:t>
      </w:r>
    </w:p>
    <w:p>
      <w:pPr>
        <w:pStyle w:val="List4"/>
        <w:pBdr/>
        <w:spacing/>
        <w:rPr/>
      </w:pPr>
      <w:r>
        <w:rPr/>
        <w:t xml:space="preserve">(9)</w:t>
      </w:r>
      <w:r>
        <w:rPr/>
        <w:tab/>
        <w:t xml:space="preserve"/>
      </w:r>
      <w:r>
        <w:rPr/>
        <w:t xml:space="preserve">Stock yards, commercial; </w:t>
      </w:r>
    </w:p>
    <w:p>
      <w:pPr>
        <w:pStyle w:val="List4"/>
        <w:pBdr/>
        <w:spacing/>
        <w:rPr/>
      </w:pPr>
      <w:r>
        <w:rPr/>
        <w:t xml:space="preserve">(10)</w:t>
      </w:r>
      <w:r>
        <w:rPr/>
        <w:tab/>
        <w:t xml:space="preserve"/>
      </w:r>
      <w:r>
        <w:rPr/>
        <w:t xml:space="preserve">Conversion of energy by nuclear fusion or fission; </w:t>
      </w:r>
    </w:p>
    <w:p>
      <w:pPr>
        <w:pStyle w:val="List4"/>
        <w:pBdr/>
        <w:spacing/>
        <w:rPr/>
      </w:pPr>
      <w:r>
        <w:rPr/>
        <w:t xml:space="preserve">(11)</w:t>
      </w:r>
      <w:r>
        <w:rPr/>
        <w:tab/>
        <w:t xml:space="preserve"/>
      </w:r>
      <w:r>
        <w:rPr/>
        <w:t xml:space="preserve">Reserved. </w:t>
      </w:r>
    </w:p>
    <w:p>
      <w:pPr>
        <w:pStyle w:val="Block4"/>
        <w:pBdr/>
        <w:spacing/>
        <w:rPr/>
      </w:pPr>
      <w:r>
        <w:rPr>
          <w:rStyle w:val="Block4"/>
        </w:rPr>
        <w:t xml:space="preserve">The aforementioned uses shall only be permitted by review through the special use procedure in chapter 9-20. </w:t>
      </w:r>
    </w:p>
    <w:p>
      <w:pPr>
        <w:pStyle w:val="HistoryNote"/>
        <w:pBdr/>
        <w:spacing/>
        <w:rPr/>
      </w:pPr>
      <w:r>
        <w:rPr>
          <w:rStyle w:val="HistoryNote"/>
        </w:rPr>
        <w:t xml:space="preserve">(Ord. of 12-5-2000, § 1; Ord. of 9-4-2001, § 2; Ord. of 8-1-2006, § 10; Ord. of 12-5-2023(4), § 8)</w:t>
      </w:r>
    </w:p>
    <w:p>
      <w:pPr>
        <w:pBdr/>
        <w:spacing w:before="0" w:after="0"/>
        <w:rPr/>
        <w:sectPr>
          <w:headerReference w:type="default" r:id="rId11"/>
          <w:footerReference w:type="default" r:id="rId12"/>
          <w:type w:val="continuous"/>
          <w:pgSz w:w="12240" w:h="15840"/>
          <w:pgMar w:top="1440" w:right="1440" w:bottom="1440" w:left="1440" w:header="720" w:footer="720" w:gutter="0"/>
          <w:pgBorders/>
          <w:pgNumType w:fmt="decimal"/>
          <w:cols w:equalWidth="1" w:space="720"/>
        </w:sectPr>
      </w:pPr>
    </w:p>
    <w:p>
      <w:pPr>
        <w:pStyle w:val="Section"/>
        <w:pBdr/>
        <w:spacing/>
        <w:rPr/>
      </w:pPr>
      <w:r>
        <w:rPr/>
        <w:t xml:space="preserve">Sec. 9-11-6.</w:t>
      </w:r>
      <w:r>
        <w:rPr/>
        <w:t xml:space="preserve"> </w:t>
      </w:r>
      <w:r>
        <w:rPr/>
        <w:t xml:space="preserve">E-I (Employment-Industrial) and I (Industrial) design standards.</w:t>
      </w:r>
    </w:p>
    <w:p>
      <w:pPr>
        <w:pStyle w:val="List1"/>
        <w:pBdr/>
        <w:spacing/>
        <w:rPr/>
      </w:pPr>
      <w:r>
        <w:rPr/>
        <w:t xml:space="preserve">A.</w:t>
      </w:r>
      <w:r>
        <w:rPr/>
        <w:tab/>
        <w:t xml:space="preserve"/>
      </w:r>
      <w:r>
        <w:rPr/>
        <w:t xml:space="preserve">All outside storage must be completely screened from view from adjacent properties and the street(s). </w:t>
      </w:r>
    </w:p>
    <w:p>
      <w:pPr>
        <w:pStyle w:val="List1"/>
        <w:pBdr/>
        <w:spacing/>
        <w:rPr/>
      </w:pPr>
      <w:r>
        <w:rPr/>
        <w:t xml:space="preserve">B.</w:t>
      </w:r>
      <w:r>
        <w:rPr/>
        <w:tab/>
        <w:t xml:space="preserve"/>
      </w:r>
      <w:r>
        <w:rPr/>
        <w:t xml:space="preserve">Loading docks must be located to the side or rear of the building unless the loading area is completely screened from the street. </w:t>
      </w:r>
    </w:p>
    <w:p>
      <w:pPr>
        <w:pStyle w:val="List1"/>
        <w:pBdr/>
        <w:spacing/>
        <w:rPr/>
      </w:pPr>
      <w:r>
        <w:rPr/>
        <w:t xml:space="preserve">C.</w:t>
      </w:r>
      <w:r>
        <w:rPr/>
        <w:tab/>
        <w:t xml:space="preserve"/>
      </w:r>
      <w:r>
        <w:rPr/>
        <w:t xml:space="preserve">Site must be designed to permit on-site maneuvering of all vehicles (no backing in from street). </w:t>
      </w:r>
    </w:p>
    <w:p>
      <w:pPr>
        <w:pStyle w:val="List1"/>
        <w:pBdr/>
        <w:spacing/>
        <w:rPr/>
      </w:pPr>
      <w:r>
        <w:rPr/>
        <w:t xml:space="preserve">D.</w:t>
      </w:r>
      <w:r>
        <w:rPr/>
        <w:tab/>
        <w:t xml:space="preserve"/>
      </w:r>
      <w:r>
        <w:rPr/>
        <w:t xml:space="preserve">Front yard landscaping. A minimum of 25 percent of the designated front yard set back shall be landscaped with a combination of trees, shrubs, and ground cover. The remainder of the front yard set back shall be vegetated, which may be grass or other ground cover. </w:t>
      </w:r>
    </w:p>
    <w:p>
      <w:pPr>
        <w:pStyle w:val="List1"/>
        <w:pBdr/>
        <w:spacing/>
        <w:rPr/>
      </w:pPr>
      <w:r>
        <w:rPr/>
        <w:t xml:space="preserve">E.</w:t>
      </w:r>
      <w:r>
        <w:rPr/>
        <w:tab/>
        <w:t xml:space="preserve"/>
      </w:r>
      <w:r>
        <w:rPr/>
        <w:t xml:space="preserve">Riparian buffers for the I (Industrial) zone. Developments in the I (Industrial) zone must observe a minimum buffer of 150 feet (measured horizontally from uppermost part of the river, stream or lake bank usually marked by a break in slope) from all perennial rivers, lakes, and streams identified on the Athens-Clarke County Environmental Areas Map. Buffers are to be maintained in accordance with </w:t>
      </w:r>
      <w:r>
        <w:rPr/>
        <w:t xml:space="preserve">section 8-6-8</w:t>
      </w:r>
      <w:r>
        <w:rPr/>
        <w:t xml:space="preserve">, "Land Disturbing Activity Standards for Riparian Buffer Areas," of the Code of Athens-Clarke County, Georgia. </w:t>
      </w:r>
    </w:p>
    <w:p>
      <w:pPr>
        <w:pStyle w:val="HistoryNote"/>
        <w:pBdr/>
        <w:spacing/>
        <w:rPr/>
      </w:pPr>
      <w:r>
        <w:rPr>
          <w:rStyle w:val="HistoryNote"/>
        </w:rPr>
        <w:t xml:space="preserve">(Ord. of 12-5-2000, § 1; Ord. of 9-4-2001, § 3)</w:t>
      </w:r>
    </w:p>
    <w:p>
      <w:pPr>
        <w:pBdr/>
        <w:spacing w:before="0" w:after="0"/>
        <w:rPr/>
      </w:pPr>
    </w:p>
    <w:sectPr>
      <w:headerReference w:type="default" r:id="rId13"/>
      <w:footerReference w:type="default" r:id="rId14"/>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 xml:space="preserve">Athens-Clarke County, Georgia, Code of Ordinances</w:t>
    </w: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6.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8.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0.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footer14.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2025-06-13 16:52:40 [EST]</w:t>
    </w:r>
  </w:p>
  <w:p>
    <w:pPr>
      <w:pStyle w:val="FooterLeft"/>
      <w:pBdr/>
      <w:spacing/>
      <w:rPr/>
    </w:pPr>
    <w:r>
      <w:rPr/>
      <w:t xml:space="preserve">(Supp. No. 47)</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r>
      <w:rPr/>
      <w:t xml:space="preserve">PART III - CODE OF ORDINANCES</w:t>
    </w:r>
    <w:r>
      <w:rPr/>
      <w:br/>
    </w:r>
    <w:r>
      <w:rPr/>
      <w:t xml:space="preserve">Title 9 - ZONING AND DEVELOPMENT STANDARDS</w:t>
    </w:r>
    <w:r>
      <w:rPr/>
      <w:br/>
    </w:r>
    <w:r>
      <w:rPr/>
      <w:t xml:space="preserve">ARTICLE I. - ZONING</w:t>
    </w:r>
    <w:r>
      <w:rPr/>
      <w:br/>
    </w:r>
    <w:r>
      <w:rPr/>
      <w:t xml:space="preserve">CHAPTER 9-11. EMPLOYMENT-OFFICE, EMPLOYMENT-INDUSTRIAL, AND INDUSTRIAL (E, I) DISTRICTS</w:t>
    </w:r>
    <w:r>
      <w:rPr/>
      <w:br/>
    </w:r>
  </w:p>
  <w:p>
    <w:pPr>
      <w:pStyle w:val="HeaderCenter"/>
      <w:pBdr>
        <w:top w:val="single" w:color="auto" w:sz="4" w:space="0"/>
      </w:pBdr>
      <w:spacing/>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5.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7.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9.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header1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7267282C"/>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0">
    <w:nsid w:val="292E2CC8"/>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1">
    <w:nsid w:val="757CE8CE"/>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2">
    <w:nsid w:val="398CC460"/>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3">
    <w:nsid w:val="118B22BA"/>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4">
    <w:nsid w:val="60EEEC06"/>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abstractNum w:abstractNumId="15">
    <w:nsid w:val="4DE49E47"/>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ing4">
    <w:name w:val="Heading 4"/>
    <w:basedOn w:val="Heading3"/>
    <w:next w:val="Block1"/>
    <w:link w:val="Heading4Char"/>
    <w:uiPriority w:val="1"/>
    <w:qFormat/>
    <w:pPr>
      <w:pBdr/>
      <w:spacing w:after="200"/>
      <w:outlineLvl w:val="3"/>
    </w:pPr>
    <w:rPr>
      <w:b w:val="0"/>
      <w:iCs/>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Hang1" w:customStyle="1">
    <w:name w:val="Hang 1"/>
    <w:basedOn w:val="Normal"/>
    <w:uiPriority w:val="8"/>
    <w:qFormat/>
    <w:pPr>
      <w:pBdr/>
      <w:spacing/>
      <w:ind w:left="475" w:hanging="475"/>
    </w:pPr>
    <w:rPr/>
  </w:style>
  <w:style w:type="paragraph" w:styleId="List1" w:customStyle="1">
    <w:name w:val="List 1"/>
    <w:basedOn w:val="Hang1"/>
    <w:uiPriority w:val="5"/>
    <w:qFormat/>
    <w:pPr>
      <w:pBdr/>
      <w:spacing/>
    </w:pPr>
    <w:rPr/>
  </w:style>
  <w:style w:type="paragraph" w:styleId="ListParagraph2" w:customStyle="1">
    <w:name w:val="List Paragraph 2"/>
    <w:basedOn w:val="List1"/>
    <w:uiPriority w:val="98"/>
    <w:semiHidden/>
    <w:unhideWhenUsed/>
    <w:qFormat/>
    <w:pPr>
      <w:pBdr/>
      <w:spacing/>
      <w:ind w:left="950"/>
    </w:pPr>
    <w:rPr/>
  </w:style>
  <w:style w:type="paragraph" w:styleId="Block1" w:customStyle="1">
    <w:name w:val="Block 1"/>
    <w:basedOn w:val="Normal"/>
    <w:uiPriority w:val="3"/>
    <w:qFormat/>
    <w:pPr>
      <w:pBdr/>
      <w:spacing/>
    </w:pPr>
    <w:rPr/>
  </w:style>
  <w:style w:type="paragraph" w:styleId="HistoryNote" w:customStyle="1">
    <w:name w:val="History Note"/>
    <w:basedOn w:val="Block1"/>
    <w:next w:val="Section"/>
    <w:uiPriority w:val="2"/>
    <w:qFormat/>
    <w:pPr>
      <w:pBdr/>
      <w:spacing w:after="24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Paragraph1" w:customStyle="1">
    <w:name w:val="Paragraph 1"/>
    <w:basedOn w:val="Normal"/>
    <w:uiPriority w:val="7"/>
    <w:qFormat/>
    <w:pPr>
      <w:pBdr/>
      <w:spacing/>
      <w:ind w:firstLine="475"/>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List2">
    <w:name w:val="List 2"/>
    <w:basedOn w:val="List1"/>
    <w:uiPriority w:val="5"/>
    <w:qFormat/>
    <w:pPr>
      <w:pBdr/>
      <w:spacing/>
      <w:ind w:left="950"/>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3">
    <w:name w:val="List 3"/>
    <w:basedOn w:val="List2"/>
    <w:uiPriority w:val="5"/>
    <w:unhideWhenUsed/>
    <w:qFormat/>
    <w:pPr>
      <w:pBdr/>
      <w:spacing/>
      <w:ind w:left="1425"/>
    </w:pPr>
    <w:rPr/>
  </w:style>
  <w:style w:type="paragraph" w:styleId="List4">
    <w:name w:val="List 4"/>
    <w:basedOn w:val="List3"/>
    <w:uiPriority w:val="5"/>
    <w:unhideWhenUsed/>
    <w:qFormat/>
    <w:pPr>
      <w:pBdr/>
      <w:spacing/>
      <w:ind w:left="1915"/>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2" w:customStyle="1">
    <w:name w:val="Hang 2"/>
    <w:basedOn w:val="Hang1"/>
    <w:uiPriority w:val="8"/>
    <w:unhideWhenUsed/>
    <w:qFormat/>
    <w:pPr>
      <w:pBdr/>
      <w:spacing/>
      <w:ind w:left="950"/>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6e287c78-3e34-4d93-aef5-f2c5a55c4590" w:customStyle="1">
    <w:name w:val="Normal Table_6e287c78-3e34-4d93-aef5-f2c5a55c459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6e287c78-3e34-4d93-aef5-f2c5a55c4590"/>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lines="1"/>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977aab34-5a71-4acb-899e-7dfa1a4c8d30" w:customStyle="1">
    <w:name w:val="Normal Table_977aab34-5a71-4acb-899e-7dfa1a4c8d3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NormalTable_977aab34-5a71-4acb-899e-7dfa1a4c8d30"/>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adc23c68-0784-49f4-87c0-ab2db953c981" w:customStyle="1">
    <w:name w:val="Normal Table_adc23c68-0784-49f4-87c0-ab2db953c98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31965770-d896-4400-b573-85c98aaa042d" w:customStyle="1">
    <w:name w:val="Table 1_31965770-d896-4400-b573-85c98aaa042d"/>
    <w:basedOn w:val="NormalTable_adc23c68-0784-49f4-87c0-ab2db953c981"/>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31965770-d896-4400-b573-85c98aaa042d"/>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7f832541-7df5-4681-b15c-d572e92d67ef" w:customStyle="1">
    <w:name w:val="Normal Table_7f832541-7df5-4681-b15c-d572e92d67ef"/>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82aa1f1-ce44-4b6c-8959-ab58bde72bdd" w:customStyle="1">
    <w:name w:val="Table 1_482aa1f1-ce44-4b6c-8959-ab58bde72bdd"/>
    <w:basedOn w:val="NormalTable_7f832541-7df5-4681-b15c-d572e92d67ef"/>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ba24d174-f7fe-48d4-9d46-7953c4197262" w:customStyle="1">
    <w:name w:val="Table 2_ba24d174-f7fe-48d4-9d46-7953c4197262"/>
    <w:basedOn w:val="Table1_482aa1f1-ce44-4b6c-8959-ab58bde72bdd"/>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ba24d174-f7fe-48d4-9d46-7953c4197262"/>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5e90d9ec-eec3-4a89-9cc3-cb918d62cbf0" w:customStyle="1">
    <w:name w:val="Normal Table_5e90d9ec-eec3-4a89-9cc3-cb918d62cbf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4709642e-ca60-44f5-9e25-b522e83f06d4" w:customStyle="1">
    <w:name w:val="Table 1_4709642e-ca60-44f5-9e25-b522e83f06d4"/>
    <w:basedOn w:val="NormalTable_5e90d9ec-eec3-4a89-9cc3-cb918d62cbf0"/>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c27c7605-c7e5-4e72-88e9-43333d428554" w:customStyle="1">
    <w:name w:val="Table 2_c27c7605-c7e5-4e72-88e9-43333d428554"/>
    <w:basedOn w:val="Table1_4709642e-ca60-44f5-9e25-b522e83f06d4"/>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f4023f5f-96f3-4583-a427-3c00b81407c0" w:customStyle="1">
    <w:name w:val="Table 3_f4023f5f-96f3-4583-a427-3c00b81407c0"/>
    <w:basedOn w:val="Table2_c27c7605-c7e5-4e72-88e9-43333d428554"/>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f4023f5f-96f3-4583-a427-3c00b81407c0"/>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e779178a-0fed-473e-93e9-9f712b5b1bfe" w:customStyle="1">
    <w:name w:val="Normal Table_e779178a-0fed-473e-93e9-9f712b5b1bf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c8f0d87c-77cb-4cb0-b95b-d1165ddb9be4" w:customStyle="1">
    <w:name w:val="Table 1_c8f0d87c-77cb-4cb0-b95b-d1165ddb9be4"/>
    <w:basedOn w:val="NormalTable_e779178a-0fed-473e-93e9-9f712b5b1bfe"/>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7bd70533-a8c3-4c63-9d94-aaf295f82756" w:customStyle="1">
    <w:name w:val="Table 2_7bd70533-a8c3-4c63-9d94-aaf295f82756"/>
    <w:basedOn w:val="Table1_c8f0d87c-77cb-4cb0-b95b-d1165ddb9be4"/>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08261a74-4975-4173-8018-cdc3981ec971" w:customStyle="1">
    <w:name w:val="Table 3_08261a74-4975-4173-8018-cdc3981ec971"/>
    <w:basedOn w:val="Table2_7bd70533-a8c3-4c63-9d94-aaf295f82756"/>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ad9d0226-ae58-4d11-8745-d9050e96267d" w:customStyle="1">
    <w:name w:val="Table 4_ad9d0226-ae58-4d11-8745-d9050e96267d"/>
    <w:basedOn w:val="Table3_08261a74-4975-4173-8018-cdc3981ec971"/>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ad9d0226-ae58-4d11-8745-d9050e96267d"/>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96381d12-c47c-448f-aacd-6a90a402dfc8" w:customStyle="1">
    <w:name w:val="Normal Table_96381d12-c47c-448f-aacd-6a90a402dfc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6a48c9d-0601-4965-9fd3-07fa75d59361" w:customStyle="1">
    <w:name w:val="Table 1_96a48c9d-0601-4965-9fd3-07fa75d59361"/>
    <w:basedOn w:val="NormalTable_96381d12-c47c-448f-aacd-6a90a402dfc8"/>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7ecff944-dc15-4533-856e-3257bd7e8ae1" w:customStyle="1">
    <w:name w:val="Table 2_7ecff944-dc15-4533-856e-3257bd7e8ae1"/>
    <w:basedOn w:val="Table1_96a48c9d-0601-4965-9fd3-07fa75d59361"/>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84050add-3ecd-41ae-81f4-6df785c86bb3" w:customStyle="1">
    <w:name w:val="Table 3_84050add-3ecd-41ae-81f4-6df785c86bb3"/>
    <w:basedOn w:val="Table2_7ecff944-dc15-4533-856e-3257bd7e8ae1"/>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f297c7e1-3ff2-4341-9455-15ac2761cc57" w:customStyle="1">
    <w:name w:val="Table 4_f297c7e1-3ff2-4341-9455-15ac2761cc57"/>
    <w:basedOn w:val="Table3_84050add-3ecd-41ae-81f4-6df785c86bb3"/>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b5243e82-6e42-4e41-9782-be4aa09f5927" w:customStyle="1">
    <w:name w:val="Table 5_b5243e82-6e42-4e41-9782-be4aa09f5927"/>
    <w:basedOn w:val="Table4_f297c7e1-3ff2-4341-9455-15ac2761cc57"/>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b5243e82-6e42-4e41-9782-be4aa09f5927"/>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ccd67c89-78a2-47db-a366-98191743d890" w:customStyle="1">
    <w:name w:val="Normal Table_ccd67c89-78a2-47db-a366-98191743d89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5487fd8c-ae52-4617-b33a-3c635403ed8e" w:customStyle="1">
    <w:name w:val="Table 1_5487fd8c-ae52-4617-b33a-3c635403ed8e"/>
    <w:basedOn w:val="NormalTable_ccd67c89-78a2-47db-a366-98191743d890"/>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82c49107-6877-45d8-ad41-06a70c238e18" w:customStyle="1">
    <w:name w:val="Table 2_82c49107-6877-45d8-ad41-06a70c238e18"/>
    <w:basedOn w:val="Table1_5487fd8c-ae52-4617-b33a-3c635403ed8e"/>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dc286a85-3484-497c-b34e-8b9ca5c1e99a" w:customStyle="1">
    <w:name w:val="Table 3_dc286a85-3484-497c-b34e-8b9ca5c1e99a"/>
    <w:basedOn w:val="Table2_82c49107-6877-45d8-ad41-06a70c238e18"/>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91e52654-dbe4-4314-8332-8f2558166374" w:customStyle="1">
    <w:name w:val="Table 4_91e52654-dbe4-4314-8332-8f2558166374"/>
    <w:basedOn w:val="Table3_dc286a85-3484-497c-b34e-8b9ca5c1e99a"/>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54cf9825-cb93-4228-bc67-1fcf138a1ffe" w:customStyle="1">
    <w:name w:val="Table 5_54cf9825-cb93-4228-bc67-1fcf138a1ffe"/>
    <w:basedOn w:val="Table4_91e52654-dbe4-4314-8332-8f2558166374"/>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96de7de9-d8fd-479e-82a4-fc2d3c91fa6b" w:customStyle="1">
    <w:name w:val="Table 6_96de7de9-d8fd-479e-82a4-fc2d3c91fa6b"/>
    <w:basedOn w:val="Table5_54cf9825-cb93-4228-bc67-1fcf138a1ffe"/>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96de7de9-d8fd-479e-82a4-fc2d3c91fa6b"/>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9f43f9b9-aade-40fe-9ba2-2b2c30ca301c" w:customStyle="1">
    <w:name w:val="Normal Table_9f43f9b9-aade-40fe-9ba2-2b2c30ca301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e36ab551-a9ea-431f-bdce-80edf6db8d20" w:customStyle="1">
    <w:name w:val="Table 1_e36ab551-a9ea-431f-bdce-80edf6db8d20"/>
    <w:basedOn w:val="NormalTable_9f43f9b9-aade-40fe-9ba2-2b2c30ca301c"/>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be1041ac-1511-4a4c-84fd-6b13a609c49a" w:customStyle="1">
    <w:name w:val="Table 2_be1041ac-1511-4a4c-84fd-6b13a609c49a"/>
    <w:basedOn w:val="Table1_e36ab551-a9ea-431f-bdce-80edf6db8d20"/>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867398c0-f9fb-42b4-966b-9eb32e499b7e" w:customStyle="1">
    <w:name w:val="Table 3_867398c0-f9fb-42b4-966b-9eb32e499b7e"/>
    <w:basedOn w:val="Table2_be1041ac-1511-4a4c-84fd-6b13a609c49a"/>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1ed32b70-9897-497e-a7d5-1399ee8bec25" w:customStyle="1">
    <w:name w:val="Table 4_1ed32b70-9897-497e-a7d5-1399ee8bec25"/>
    <w:basedOn w:val="Table3_867398c0-f9fb-42b4-966b-9eb32e499b7e"/>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6cba13b1-ea86-4abc-b35a-77dcf73ce5d0" w:customStyle="1">
    <w:name w:val="Table 5_6cba13b1-ea86-4abc-b35a-77dcf73ce5d0"/>
    <w:basedOn w:val="Table4_1ed32b70-9897-497e-a7d5-1399ee8bec25"/>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0255463a-2b22-49fa-ab7f-95435bab6f9b" w:customStyle="1">
    <w:name w:val="Table 6_0255463a-2b22-49fa-ab7f-95435bab6f9b"/>
    <w:basedOn w:val="Table5_6cba13b1-ea86-4abc-b35a-77dcf73ce5d0"/>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dd29b9d5-e46f-4c12-8b1b-c82d2b11891b" w:customStyle="1">
    <w:name w:val="Table 7_dd29b9d5-e46f-4c12-8b1b-c82d2b11891b"/>
    <w:basedOn w:val="Table6_0255463a-2b22-49fa-ab7f-95435bab6f9b"/>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dd29b9d5-e46f-4c12-8b1b-c82d2b11891b"/>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4a1889c1-fb16-4513-9965-d29e6f7c3709" w:customStyle="1">
    <w:name w:val="Normal Table_4a1889c1-fb16-4513-9965-d29e6f7c370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125b9419-a2f3-45e9-afd9-1e8d368379b2" w:customStyle="1">
    <w:name w:val="Table 1_125b9419-a2f3-45e9-afd9-1e8d368379b2"/>
    <w:basedOn w:val="NormalTable_4a1889c1-fb16-4513-9965-d29e6f7c3709"/>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2cbb7d02-ac11-4723-8eda-d0d04986a947" w:customStyle="1">
    <w:name w:val="Table 2_2cbb7d02-ac11-4723-8eda-d0d04986a947"/>
    <w:basedOn w:val="Table1_125b9419-a2f3-45e9-afd9-1e8d368379b2"/>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212e1c12-0c3d-428a-971a-f1f3184fd34d" w:customStyle="1">
    <w:name w:val="Table 3_212e1c12-0c3d-428a-971a-f1f3184fd34d"/>
    <w:basedOn w:val="Table2_2cbb7d02-ac11-4723-8eda-d0d04986a947"/>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2cf6ab07-5a3b-4920-8b38-eeaa3d90ecc7" w:customStyle="1">
    <w:name w:val="Table 4_2cf6ab07-5a3b-4920-8b38-eeaa3d90ecc7"/>
    <w:basedOn w:val="Table3_212e1c12-0c3d-428a-971a-f1f3184fd34d"/>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cbac2db1-9312-4a68-9ed7-c363f28e32d5" w:customStyle="1">
    <w:name w:val="Table 5_cbac2db1-9312-4a68-9ed7-c363f28e32d5"/>
    <w:basedOn w:val="Table4_2cf6ab07-5a3b-4920-8b38-eeaa3d90ecc7"/>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c8f9698d-9eda-4a2f-80dd-c277e9c2a120" w:customStyle="1">
    <w:name w:val="Table 6_c8f9698d-9eda-4a2f-80dd-c277e9c2a120"/>
    <w:basedOn w:val="Table5_cbac2db1-9312-4a68-9ed7-c363f28e32d5"/>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707d5df6-f82e-46c8-a8eb-2d7e5f162698" w:customStyle="1">
    <w:name w:val="Table 7_707d5df6-f82e-46c8-a8eb-2d7e5f162698"/>
    <w:basedOn w:val="Table6_c8f9698d-9eda-4a2f-80dd-c277e9c2a120"/>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8632efbc-b266-4e59-b11d-533e7378fa5b" w:customStyle="1">
    <w:name w:val="Table 8_8632efbc-b266-4e59-b11d-533e7378fa5b"/>
    <w:basedOn w:val="Table7_707d5df6-f82e-46c8-a8eb-2d7e5f162698"/>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8632efbc-b266-4e59-b11d-533e7378fa5b"/>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0d59556d-6248-405d-8c91-cdda9a40b62d" w:customStyle="1">
    <w:name w:val="Normal Table_0d59556d-6248-405d-8c91-cdda9a40b62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0d59556d-6248-405d-8c91-cdda9a40b62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2b9219f2-bacf-4bc1-aa49-f8fc74bf3098" w:customStyle="1">
    <w:name w:val="Normal Table_2b9219f2-bacf-4bc1-aa49-f8fc74bf309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986fb98e-2e5a-4b8d-90ef-d8851c95e8b1" w:customStyle="1">
    <w:name w:val="Table NoRule 1_986fb98e-2e5a-4b8d-90ef-d8851c95e8b1"/>
    <w:basedOn w:val="NormalTable_2b9219f2-bacf-4bc1-aa49-f8fc74bf3098"/>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986fb98e-2e5a-4b8d-90ef-d8851c95e8b1"/>
    <w:uiPriority w:val="99"/>
    <w:pPr>
      <w:pBdr/>
      <w:spacing/>
    </w:pPr>
    <w:rPr/>
    <w:tblPr>
      <w:tblInd w:w="475" w:type="dxa"/>
      <w:tblBorders/>
      <w:tblCellMar/>
    </w:tblPr>
    <w:trPr/>
    <w:tcPr>
      <w:tcBorders/>
      <w:shd w:val="clear" w:color="auto" w:fill="auto"/>
      <w:tcMar/>
      <w:vAlign w:val="top"/>
    </w:tcPr>
  </w:style>
  <w:style w:type="table" w:styleId="NormalTable_45dc5c5f-c20a-4bf3-92d4-115fc90017a1" w:customStyle="1">
    <w:name w:val="Normal Table_45dc5c5f-c20a-4bf3-92d4-115fc90017a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58034653-aeb2-4446-83fc-460ef70be2c9" w:customStyle="1">
    <w:name w:val="Table NoRule 1_58034653-aeb2-4446-83fc-460ef70be2c9"/>
    <w:basedOn w:val="NormalTable_45dc5c5f-c20a-4bf3-92d4-115fc90017a1"/>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4beca29b-ffee-4db0-ab2f-a4209fe7270f" w:customStyle="1">
    <w:name w:val="Table NoRule 2_4beca29b-ffee-4db0-ab2f-a4209fe7270f"/>
    <w:basedOn w:val="TableNoRule1_58034653-aeb2-4446-83fc-460ef70be2c9"/>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4beca29b-ffee-4db0-ab2f-a4209fe7270f"/>
    <w:uiPriority w:val="99"/>
    <w:pPr>
      <w:pBdr/>
      <w:spacing/>
    </w:pPr>
    <w:rPr/>
    <w:tblPr>
      <w:tblInd w:w="950" w:type="dxa"/>
      <w:tblBorders/>
      <w:tblCellMar/>
    </w:tblPr>
    <w:trPr/>
    <w:tcPr>
      <w:tcBorders/>
      <w:shd w:val="clear" w:color="auto" w:fill="auto"/>
      <w:tcMar/>
      <w:vAlign w:val="top"/>
    </w:tcPr>
  </w:style>
  <w:style w:type="table" w:styleId="NormalTable_fec16d55-ac22-42d5-b274-17ce093d1ccc" w:customStyle="1">
    <w:name w:val="Normal Table_fec16d55-ac22-42d5-b274-17ce093d1cc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ad8def24-40af-4c11-9f6b-0e65aee17387" w:customStyle="1">
    <w:name w:val="Table NoRule 1_ad8def24-40af-4c11-9f6b-0e65aee17387"/>
    <w:basedOn w:val="NormalTable_fec16d55-ac22-42d5-b274-17ce093d1ccc"/>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1d3f24fd-d3d7-4b45-ba83-6117d4014c9b" w:customStyle="1">
    <w:name w:val="Table NoRule 2_1d3f24fd-d3d7-4b45-ba83-6117d4014c9b"/>
    <w:basedOn w:val="TableNoRule1_ad8def24-40af-4c11-9f6b-0e65aee17387"/>
    <w:uiPriority w:val="99"/>
    <w:pPr>
      <w:pBdr/>
      <w:spacing/>
    </w:pPr>
    <w:rPr/>
    <w:tblPr>
      <w:tblInd w:w="475" w:type="dxa"/>
      <w:tblBorders/>
      <w:tblCellMar/>
    </w:tblPr>
    <w:trPr/>
    <w:tcPr>
      <w:tcBorders/>
      <w:shd w:val="clear" w:color="auto" w:fill="auto"/>
      <w:tcMar/>
      <w:vAlign w:val="top"/>
    </w:tcPr>
  </w:style>
  <w:style w:type="table" w:styleId="TableNoRule3_7d4a914e-9b0a-49c4-ad81-a7f23d7dce94" w:customStyle="1">
    <w:name w:val="Table NoRule 3_7d4a914e-9b0a-49c4-ad81-a7f23d7dce94"/>
    <w:basedOn w:val="TableNoRule2_1d3f24fd-d3d7-4b45-ba83-6117d4014c9b"/>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7d4a914e-9b0a-49c4-ad81-a7f23d7dce94"/>
    <w:uiPriority w:val="99"/>
    <w:pPr>
      <w:pBdr/>
      <w:spacing/>
    </w:pPr>
    <w:rPr/>
    <w:tblPr>
      <w:tblInd w:w="1440" w:type="dxa"/>
      <w:tblBorders/>
      <w:tblCellMar/>
    </w:tblPr>
    <w:trPr/>
    <w:tcPr>
      <w:tcBorders/>
      <w:shd w:val="clear" w:color="auto" w:fill="auto"/>
      <w:tcMar/>
      <w:vAlign w:val="top"/>
    </w:tcPr>
  </w:style>
  <w:style w:type="table" w:styleId="NormalTable_2e06af79-c6f1-4ce0-8376-cb6f694b988b" w:customStyle="1">
    <w:name w:val="Normal Table_2e06af79-c6f1-4ce0-8376-cb6f694b988b"/>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c7c07abf-d885-46a4-88bd-c1d8a82f01ab" w:customStyle="1">
    <w:name w:val="Table NoRule 1_c7c07abf-d885-46a4-88bd-c1d8a82f01ab"/>
    <w:basedOn w:val="NormalTable_2e06af79-c6f1-4ce0-8376-cb6f694b988b"/>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6d313507-0e28-47a6-9c23-7f2f61511e4c" w:customStyle="1">
    <w:name w:val="Table NoRule 2_6d313507-0e28-47a6-9c23-7f2f61511e4c"/>
    <w:basedOn w:val="TableNoRule1_c7c07abf-d885-46a4-88bd-c1d8a82f01ab"/>
    <w:uiPriority w:val="99"/>
    <w:pPr>
      <w:pBdr/>
      <w:spacing/>
    </w:pPr>
    <w:rPr/>
    <w:tblPr>
      <w:tblInd w:w="475" w:type="dxa"/>
      <w:tblBorders/>
      <w:tblCellMar/>
    </w:tblPr>
    <w:trPr/>
    <w:tcPr>
      <w:tcBorders/>
      <w:shd w:val="clear" w:color="auto" w:fill="auto"/>
      <w:tcMar/>
      <w:vAlign w:val="top"/>
    </w:tcPr>
  </w:style>
  <w:style w:type="table" w:styleId="TableNoRule3_78ac9326-f0f8-4dd2-9a39-87ada098fca4" w:customStyle="1">
    <w:name w:val="Table NoRule 3_78ac9326-f0f8-4dd2-9a39-87ada098fca4"/>
    <w:basedOn w:val="TableNoRule2_6d313507-0e28-47a6-9c23-7f2f61511e4c"/>
    <w:uiPriority w:val="99"/>
    <w:pPr>
      <w:pBdr/>
      <w:spacing/>
    </w:pPr>
    <w:rPr/>
    <w:tblPr>
      <w:tblInd w:w="950" w:type="dxa"/>
      <w:tblBorders/>
      <w:tblCellMar/>
    </w:tblPr>
    <w:trPr/>
    <w:tcPr>
      <w:tcBorders/>
      <w:shd w:val="clear" w:color="auto" w:fill="auto"/>
      <w:tcMar/>
      <w:vAlign w:val="top"/>
    </w:tcPr>
  </w:style>
  <w:style w:type="table" w:styleId="TableNoRule4_42425596-c318-41f6-9dad-0a6598c56916" w:customStyle="1">
    <w:name w:val="Table NoRule 4_42425596-c318-41f6-9dad-0a6598c56916"/>
    <w:basedOn w:val="TableNoRule3_78ac9326-f0f8-4dd2-9a39-87ada098fca4"/>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42425596-c318-41f6-9dad-0a6598c56916"/>
    <w:uiPriority w:val="99"/>
    <w:pPr>
      <w:pBdr/>
      <w:spacing/>
    </w:pPr>
    <w:rPr/>
    <w:tblPr>
      <w:tblInd w:w="1915" w:type="dxa"/>
      <w:tblBorders/>
      <w:tblCellMar/>
    </w:tblPr>
    <w:trPr/>
    <w:tcPr>
      <w:tcBorders/>
      <w:shd w:val="clear" w:color="auto" w:fill="auto"/>
      <w:tcMar/>
      <w:vAlign w:val="top"/>
    </w:tcPr>
  </w:style>
  <w:style w:type="table" w:styleId="NormalTable_4cd629fc-7f48-4002-94f2-22eb1f2651f5" w:customStyle="1">
    <w:name w:val="Normal Table_4cd629fc-7f48-4002-94f2-22eb1f2651f5"/>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34ae881a-ea1a-45cf-9ee9-c1ba390a0686" w:customStyle="1">
    <w:name w:val="Table NoRule 1_34ae881a-ea1a-45cf-9ee9-c1ba390a0686"/>
    <w:basedOn w:val="NormalTable_4cd629fc-7f48-4002-94f2-22eb1f2651f5"/>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cd112a4c-9224-44db-b0e9-cec45997e09f" w:customStyle="1">
    <w:name w:val="Table NoRule 2_cd112a4c-9224-44db-b0e9-cec45997e09f"/>
    <w:basedOn w:val="TableNoRule1_34ae881a-ea1a-45cf-9ee9-c1ba390a0686"/>
    <w:uiPriority w:val="99"/>
    <w:pPr>
      <w:pBdr/>
      <w:spacing/>
    </w:pPr>
    <w:rPr/>
    <w:tblPr>
      <w:tblInd w:w="475" w:type="dxa"/>
      <w:tblBorders/>
      <w:tblCellMar/>
    </w:tblPr>
    <w:trPr/>
    <w:tcPr>
      <w:tcBorders/>
      <w:shd w:val="clear" w:color="auto" w:fill="auto"/>
      <w:tcMar/>
      <w:vAlign w:val="top"/>
    </w:tcPr>
  </w:style>
  <w:style w:type="table" w:styleId="TableNoRule3_139c2572-685b-4a30-a70e-ac8f3a086ed1" w:customStyle="1">
    <w:name w:val="Table NoRule 3_139c2572-685b-4a30-a70e-ac8f3a086ed1"/>
    <w:basedOn w:val="TableNoRule2_cd112a4c-9224-44db-b0e9-cec45997e09f"/>
    <w:uiPriority w:val="99"/>
    <w:pPr>
      <w:pBdr/>
      <w:spacing/>
    </w:pPr>
    <w:rPr/>
    <w:tblPr>
      <w:tblInd w:w="950" w:type="dxa"/>
      <w:tblBorders/>
      <w:tblCellMar/>
    </w:tblPr>
    <w:trPr/>
    <w:tcPr>
      <w:tcBorders/>
      <w:shd w:val="clear" w:color="auto" w:fill="auto"/>
      <w:tcMar/>
      <w:vAlign w:val="top"/>
    </w:tcPr>
  </w:style>
  <w:style w:type="table" w:styleId="TableNoRule4_0e8649c0-a405-4a47-afe9-7d4b47251763" w:customStyle="1">
    <w:name w:val="Table NoRule 4_0e8649c0-a405-4a47-afe9-7d4b47251763"/>
    <w:basedOn w:val="TableNoRule3_139c2572-685b-4a30-a70e-ac8f3a086ed1"/>
    <w:uiPriority w:val="99"/>
    <w:pPr>
      <w:pBdr/>
      <w:spacing/>
    </w:pPr>
    <w:rPr/>
    <w:tblPr>
      <w:tblInd w:w="1440" w:type="dxa"/>
      <w:tblBorders/>
      <w:tblCellMar/>
    </w:tblPr>
    <w:trPr/>
    <w:tcPr>
      <w:tcBorders/>
      <w:shd w:val="clear" w:color="auto" w:fill="auto"/>
      <w:tcMar/>
      <w:vAlign w:val="top"/>
    </w:tcPr>
  </w:style>
  <w:style w:type="table" w:styleId="TableNoRule5_4d54aafe-b200-4a53-90ba-354749d07351" w:customStyle="1">
    <w:name w:val="Table NoRule 5_4d54aafe-b200-4a53-90ba-354749d07351"/>
    <w:basedOn w:val="TableNoRule4_0e8649c0-a405-4a47-afe9-7d4b47251763"/>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4d54aafe-b200-4a53-90ba-354749d07351"/>
    <w:uiPriority w:val="99"/>
    <w:pPr>
      <w:pBdr/>
      <w:spacing/>
    </w:pPr>
    <w:rPr/>
    <w:tblPr>
      <w:tblInd w:w="2390" w:type="dxa"/>
      <w:tblBorders/>
      <w:tblCellMar/>
    </w:tblPr>
    <w:trPr/>
    <w:tcPr>
      <w:tcBorders/>
      <w:shd w:val="clear" w:color="auto" w:fill="auto"/>
      <w:tcMar/>
      <w:vAlign w:val="top"/>
    </w:tcPr>
  </w:style>
  <w:style w:type="table" w:styleId="NormalTable_31ebd839-4d02-481e-b6cd-4ce156bcefed" w:customStyle="1">
    <w:name w:val="Normal Table_31ebd839-4d02-481e-b6cd-4ce156bcefe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92d70dce-e52c-41e7-8a62-794fa3c0eedb" w:customStyle="1">
    <w:name w:val="Table NoRule 1_92d70dce-e52c-41e7-8a62-794fa3c0eedb"/>
    <w:basedOn w:val="NormalTable_31ebd839-4d02-481e-b6cd-4ce156bcefe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e6ef2c46-ad6e-4c2e-b160-b4e562dcff4b" w:customStyle="1">
    <w:name w:val="Table NoRule 2_e6ef2c46-ad6e-4c2e-b160-b4e562dcff4b"/>
    <w:basedOn w:val="TableNoRule1_92d70dce-e52c-41e7-8a62-794fa3c0eedb"/>
    <w:uiPriority w:val="99"/>
    <w:pPr>
      <w:pBdr/>
      <w:spacing/>
    </w:pPr>
    <w:rPr/>
    <w:tblPr>
      <w:tblInd w:w="475" w:type="dxa"/>
      <w:tblBorders/>
      <w:tblCellMar/>
    </w:tblPr>
    <w:trPr/>
    <w:tcPr>
      <w:tcBorders/>
      <w:shd w:val="clear" w:color="auto" w:fill="auto"/>
      <w:tcMar/>
      <w:vAlign w:val="top"/>
    </w:tcPr>
  </w:style>
  <w:style w:type="table" w:styleId="TableNoRule3_dcb14b7a-68fb-4c51-b511-17405235fae6" w:customStyle="1">
    <w:name w:val="Table NoRule 3_dcb14b7a-68fb-4c51-b511-17405235fae6"/>
    <w:basedOn w:val="TableNoRule2_e6ef2c46-ad6e-4c2e-b160-b4e562dcff4b"/>
    <w:uiPriority w:val="99"/>
    <w:pPr>
      <w:pBdr/>
      <w:spacing/>
    </w:pPr>
    <w:rPr/>
    <w:tblPr>
      <w:tblInd w:w="950" w:type="dxa"/>
      <w:tblBorders/>
      <w:tblCellMar/>
    </w:tblPr>
    <w:trPr/>
    <w:tcPr>
      <w:tcBorders/>
      <w:shd w:val="clear" w:color="auto" w:fill="auto"/>
      <w:tcMar/>
      <w:vAlign w:val="top"/>
    </w:tcPr>
  </w:style>
  <w:style w:type="table" w:styleId="TableNoRule4_90e6fe43-7fea-49ff-8d10-d0bd32ca0804" w:customStyle="1">
    <w:name w:val="Table NoRule 4_90e6fe43-7fea-49ff-8d10-d0bd32ca0804"/>
    <w:basedOn w:val="TableNoRule3_dcb14b7a-68fb-4c51-b511-17405235fae6"/>
    <w:uiPriority w:val="99"/>
    <w:pPr>
      <w:pBdr/>
      <w:spacing/>
    </w:pPr>
    <w:rPr/>
    <w:tblPr>
      <w:tblInd w:w="1440" w:type="dxa"/>
      <w:tblBorders/>
      <w:tblCellMar/>
    </w:tblPr>
    <w:trPr/>
    <w:tcPr>
      <w:tcBorders/>
      <w:shd w:val="clear" w:color="auto" w:fill="auto"/>
      <w:tcMar/>
      <w:vAlign w:val="top"/>
    </w:tcPr>
  </w:style>
  <w:style w:type="table" w:styleId="TableNoRule5_b304d894-d321-437e-8118-a7d8bed90c80" w:customStyle="1">
    <w:name w:val="Table NoRule 5_b304d894-d321-437e-8118-a7d8bed90c80"/>
    <w:basedOn w:val="TableNoRule4_90e6fe43-7fea-49ff-8d10-d0bd32ca0804"/>
    <w:uiPriority w:val="99"/>
    <w:pPr>
      <w:pBdr/>
      <w:spacing/>
    </w:pPr>
    <w:rPr/>
    <w:tblPr>
      <w:tblInd w:w="1915" w:type="dxa"/>
      <w:tblBorders/>
      <w:tblCellMar/>
    </w:tblPr>
    <w:trPr/>
    <w:tcPr>
      <w:tcBorders/>
      <w:shd w:val="clear" w:color="auto" w:fill="auto"/>
      <w:tcMar/>
      <w:vAlign w:val="top"/>
    </w:tcPr>
  </w:style>
  <w:style w:type="table" w:styleId="TableNoRule6_dbaafc8d-680e-4ff6-9035-3814e072db96" w:customStyle="1">
    <w:name w:val="Table NoRule 6_dbaafc8d-680e-4ff6-9035-3814e072db96"/>
    <w:basedOn w:val="TableNoRule5_b304d894-d321-437e-8118-a7d8bed90c80"/>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dbaafc8d-680e-4ff6-9035-3814e072db96"/>
    <w:uiPriority w:val="99"/>
    <w:pPr>
      <w:pBdr/>
      <w:spacing/>
    </w:pPr>
    <w:rPr/>
    <w:tblPr>
      <w:tblInd w:w="2880" w:type="dxa"/>
      <w:tblBorders/>
      <w:tblCellMar/>
    </w:tblPr>
    <w:trPr/>
    <w:tcPr>
      <w:tcBorders/>
      <w:shd w:val="clear" w:color="auto" w:fill="auto"/>
      <w:tcMar/>
      <w:vAlign w:val="top"/>
    </w:tcPr>
  </w:style>
  <w:style w:type="table" w:styleId="NormalTable_729c4564-03e4-424c-9e19-3bfecbde69c3" w:customStyle="1">
    <w:name w:val="Normal Table_729c4564-03e4-424c-9e19-3bfecbde69c3"/>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03b0008a-b3fa-4eff-9b03-c92a57f318de" w:customStyle="1">
    <w:name w:val="Table NoRule 1_03b0008a-b3fa-4eff-9b03-c92a57f318de"/>
    <w:basedOn w:val="NormalTable_729c4564-03e4-424c-9e19-3bfecbde69c3"/>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15f4ae9a-b01f-48d8-89c7-7d7f4f6d3c3e" w:customStyle="1">
    <w:name w:val="Table NoRule 2_15f4ae9a-b01f-48d8-89c7-7d7f4f6d3c3e"/>
    <w:basedOn w:val="TableNoRule1_03b0008a-b3fa-4eff-9b03-c92a57f318de"/>
    <w:uiPriority w:val="99"/>
    <w:pPr>
      <w:pBdr/>
      <w:spacing/>
    </w:pPr>
    <w:rPr/>
    <w:tblPr>
      <w:tblInd w:w="475" w:type="dxa"/>
      <w:tblBorders/>
      <w:tblCellMar/>
    </w:tblPr>
    <w:trPr/>
    <w:tcPr>
      <w:tcBorders/>
      <w:shd w:val="clear" w:color="auto" w:fill="auto"/>
      <w:tcMar/>
      <w:vAlign w:val="top"/>
    </w:tcPr>
  </w:style>
  <w:style w:type="table" w:styleId="TableNoRule3_63854ed1-9816-42d7-8148-698f397901c1" w:customStyle="1">
    <w:name w:val="Table NoRule 3_63854ed1-9816-42d7-8148-698f397901c1"/>
    <w:basedOn w:val="TableNoRule2_15f4ae9a-b01f-48d8-89c7-7d7f4f6d3c3e"/>
    <w:uiPriority w:val="99"/>
    <w:pPr>
      <w:pBdr/>
      <w:spacing/>
    </w:pPr>
    <w:rPr/>
    <w:tblPr>
      <w:tblInd w:w="950" w:type="dxa"/>
      <w:tblBorders/>
      <w:tblCellMar/>
    </w:tblPr>
    <w:trPr/>
    <w:tcPr>
      <w:tcBorders/>
      <w:shd w:val="clear" w:color="auto" w:fill="auto"/>
      <w:tcMar/>
      <w:vAlign w:val="top"/>
    </w:tcPr>
  </w:style>
  <w:style w:type="table" w:styleId="TableNoRule4_583bc51c-d3be-43ef-a3fa-68e7c623c5b1" w:customStyle="1">
    <w:name w:val="Table NoRule 4_583bc51c-d3be-43ef-a3fa-68e7c623c5b1"/>
    <w:basedOn w:val="TableNoRule3_63854ed1-9816-42d7-8148-698f397901c1"/>
    <w:uiPriority w:val="99"/>
    <w:pPr>
      <w:pBdr/>
      <w:spacing/>
    </w:pPr>
    <w:rPr/>
    <w:tblPr>
      <w:tblInd w:w="1440" w:type="dxa"/>
      <w:tblBorders/>
      <w:tblCellMar/>
    </w:tblPr>
    <w:trPr/>
    <w:tcPr>
      <w:tcBorders/>
      <w:shd w:val="clear" w:color="auto" w:fill="auto"/>
      <w:tcMar/>
      <w:vAlign w:val="top"/>
    </w:tcPr>
  </w:style>
  <w:style w:type="table" w:styleId="TableNoRule5_7bb7fece-a72f-4882-8889-4661b7e5edc7" w:customStyle="1">
    <w:name w:val="Table NoRule 5_7bb7fece-a72f-4882-8889-4661b7e5edc7"/>
    <w:basedOn w:val="TableNoRule4_583bc51c-d3be-43ef-a3fa-68e7c623c5b1"/>
    <w:uiPriority w:val="99"/>
    <w:pPr>
      <w:pBdr/>
      <w:spacing/>
    </w:pPr>
    <w:rPr/>
    <w:tblPr>
      <w:tblInd w:w="1915" w:type="dxa"/>
      <w:tblBorders/>
      <w:tblCellMar/>
    </w:tblPr>
    <w:trPr/>
    <w:tcPr>
      <w:tcBorders/>
      <w:shd w:val="clear" w:color="auto" w:fill="auto"/>
      <w:tcMar/>
      <w:vAlign w:val="top"/>
    </w:tcPr>
  </w:style>
  <w:style w:type="table" w:styleId="TableNoRule6_a555f9db-5e15-46fd-aa1e-2b31f1a1de83" w:customStyle="1">
    <w:name w:val="Table NoRule 6_a555f9db-5e15-46fd-aa1e-2b31f1a1de83"/>
    <w:basedOn w:val="TableNoRule5_7bb7fece-a72f-4882-8889-4661b7e5edc7"/>
    <w:uiPriority w:val="99"/>
    <w:pPr>
      <w:pBdr/>
      <w:spacing/>
    </w:pPr>
    <w:rPr/>
    <w:tblPr>
      <w:tblInd w:w="2390" w:type="dxa"/>
      <w:tblBorders/>
      <w:tblCellMar/>
    </w:tblPr>
    <w:trPr/>
    <w:tcPr>
      <w:tcBorders/>
      <w:shd w:val="clear" w:color="auto" w:fill="auto"/>
      <w:tcMar/>
      <w:vAlign w:val="top"/>
    </w:tcPr>
  </w:style>
  <w:style w:type="table" w:styleId="TableNoRule7_7e730bfb-0f92-495b-93e7-f38c89a73782" w:customStyle="1">
    <w:name w:val="Table NoRule 7_7e730bfb-0f92-495b-93e7-f38c89a73782"/>
    <w:basedOn w:val="TableNoRule6_a555f9db-5e15-46fd-aa1e-2b31f1a1de83"/>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7e730bfb-0f92-495b-93e7-f38c89a73782"/>
    <w:uiPriority w:val="99"/>
    <w:pPr>
      <w:pBdr/>
      <w:spacing/>
    </w:pPr>
    <w:rPr/>
    <w:tblPr>
      <w:tblInd w:w="3355" w:type="dxa"/>
      <w:tblBorders/>
      <w:tblCellMar/>
    </w:tblPr>
    <w:trPr/>
    <w:tcPr>
      <w:tcBorders/>
      <w:shd w:val="clear" w:color="auto" w:fill="auto"/>
      <w:tcMar/>
      <w:vAlign w:val="top"/>
    </w:tcPr>
  </w:style>
  <w:style w:type="table" w:styleId="NormalTable_31b1b45d-2972-4c83-b22a-b648296c991a" w:customStyle="1">
    <w:name w:val="Normal Table_31b1b45d-2972-4c83-b22a-b648296c991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d3b3a08c-5885-48f3-a441-084780838a7c" w:customStyle="1">
    <w:name w:val="Table NoRule 1_d3b3a08c-5885-48f3-a441-084780838a7c"/>
    <w:basedOn w:val="NormalTable_31b1b45d-2972-4c83-b22a-b648296c991a"/>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e1aa3a9e-d7b5-4456-af6a-7a5bbf2f5523" w:customStyle="1">
    <w:name w:val="Table NoRule 2_e1aa3a9e-d7b5-4456-af6a-7a5bbf2f5523"/>
    <w:basedOn w:val="TableNoRule1_d3b3a08c-5885-48f3-a441-084780838a7c"/>
    <w:uiPriority w:val="99"/>
    <w:pPr>
      <w:pBdr/>
      <w:spacing/>
    </w:pPr>
    <w:rPr/>
    <w:tblPr>
      <w:tblInd w:w="475" w:type="dxa"/>
      <w:tblBorders/>
      <w:tblCellMar/>
    </w:tblPr>
    <w:trPr/>
    <w:tcPr>
      <w:tcBorders/>
      <w:shd w:val="clear" w:color="auto" w:fill="auto"/>
      <w:tcMar/>
      <w:vAlign w:val="top"/>
    </w:tcPr>
  </w:style>
  <w:style w:type="table" w:styleId="TableNoRule3_d0e3172a-34d3-4b83-8557-8e40e907f140" w:customStyle="1">
    <w:name w:val="Table NoRule 3_d0e3172a-34d3-4b83-8557-8e40e907f140"/>
    <w:basedOn w:val="TableNoRule2_e1aa3a9e-d7b5-4456-af6a-7a5bbf2f5523"/>
    <w:uiPriority w:val="99"/>
    <w:pPr>
      <w:pBdr/>
      <w:spacing/>
    </w:pPr>
    <w:rPr/>
    <w:tblPr>
      <w:tblInd w:w="950" w:type="dxa"/>
      <w:tblBorders/>
      <w:tblCellMar/>
    </w:tblPr>
    <w:trPr/>
    <w:tcPr>
      <w:tcBorders/>
      <w:shd w:val="clear" w:color="auto" w:fill="auto"/>
      <w:tcMar/>
      <w:vAlign w:val="top"/>
    </w:tcPr>
  </w:style>
  <w:style w:type="table" w:styleId="TableNoRule4_dfeafb4d-6117-491c-9ebc-62c0fd1532a4" w:customStyle="1">
    <w:name w:val="Table NoRule 4_dfeafb4d-6117-491c-9ebc-62c0fd1532a4"/>
    <w:basedOn w:val="TableNoRule3_d0e3172a-34d3-4b83-8557-8e40e907f140"/>
    <w:uiPriority w:val="99"/>
    <w:pPr>
      <w:pBdr/>
      <w:spacing/>
    </w:pPr>
    <w:rPr/>
    <w:tblPr>
      <w:tblInd w:w="1440" w:type="dxa"/>
      <w:tblBorders/>
      <w:tblCellMar/>
    </w:tblPr>
    <w:trPr/>
    <w:tcPr>
      <w:tcBorders/>
      <w:shd w:val="clear" w:color="auto" w:fill="auto"/>
      <w:tcMar/>
      <w:vAlign w:val="top"/>
    </w:tcPr>
  </w:style>
  <w:style w:type="table" w:styleId="TableNoRule5_a98d94f3-a0f6-4ba8-8263-5dc7c2d6f14d" w:customStyle="1">
    <w:name w:val="Table NoRule 5_a98d94f3-a0f6-4ba8-8263-5dc7c2d6f14d"/>
    <w:basedOn w:val="TableNoRule4_dfeafb4d-6117-491c-9ebc-62c0fd1532a4"/>
    <w:uiPriority w:val="99"/>
    <w:pPr>
      <w:pBdr/>
      <w:spacing/>
    </w:pPr>
    <w:rPr/>
    <w:tblPr>
      <w:tblInd w:w="1915" w:type="dxa"/>
      <w:tblBorders/>
      <w:tblCellMar/>
    </w:tblPr>
    <w:trPr/>
    <w:tcPr>
      <w:tcBorders/>
      <w:shd w:val="clear" w:color="auto" w:fill="auto"/>
      <w:tcMar/>
      <w:vAlign w:val="top"/>
    </w:tcPr>
  </w:style>
  <w:style w:type="table" w:styleId="TableNoRule6_90579586-423b-4c27-b99a-9dcc0f99b46a" w:customStyle="1">
    <w:name w:val="Table NoRule 6_90579586-423b-4c27-b99a-9dcc0f99b46a"/>
    <w:basedOn w:val="TableNoRule5_a98d94f3-a0f6-4ba8-8263-5dc7c2d6f14d"/>
    <w:uiPriority w:val="99"/>
    <w:pPr>
      <w:pBdr/>
      <w:spacing/>
    </w:pPr>
    <w:rPr/>
    <w:tblPr>
      <w:tblInd w:w="2390" w:type="dxa"/>
      <w:tblBorders/>
      <w:tblCellMar/>
    </w:tblPr>
    <w:trPr/>
    <w:tcPr>
      <w:tcBorders/>
      <w:shd w:val="clear" w:color="auto" w:fill="auto"/>
      <w:tcMar/>
      <w:vAlign w:val="top"/>
    </w:tcPr>
  </w:style>
  <w:style w:type="table" w:styleId="TableNoRule7_f5a43dab-4c0b-4bf1-914e-fd408d70dd0f" w:customStyle="1">
    <w:name w:val="Table NoRule 7_f5a43dab-4c0b-4bf1-914e-fd408d70dd0f"/>
    <w:basedOn w:val="TableNoRule6_90579586-423b-4c27-b99a-9dcc0f99b46a"/>
    <w:uiPriority w:val="99"/>
    <w:pPr>
      <w:pBdr/>
      <w:spacing/>
    </w:pPr>
    <w:rPr/>
    <w:tblPr>
      <w:tblInd w:w="2880" w:type="dxa"/>
      <w:tblBorders/>
      <w:tblCellMar/>
    </w:tblPr>
    <w:trPr/>
    <w:tcPr>
      <w:tcBorders/>
      <w:shd w:val="clear" w:color="auto" w:fill="auto"/>
      <w:tcMar/>
      <w:vAlign w:val="top"/>
    </w:tcPr>
  </w:style>
  <w:style w:type="table" w:styleId="TableNoRule8_0f13b0ec-9256-4439-81a1-b10e1d1f7352" w:customStyle="1">
    <w:name w:val="Table NoRule 8_0f13b0ec-9256-4439-81a1-b10e1d1f7352"/>
    <w:basedOn w:val="TableNoRule7_f5a43dab-4c0b-4bf1-914e-fd408d70dd0f"/>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0f13b0ec-9256-4439-81a1-b10e1d1f7352"/>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 w:type="table" w:styleId="NormalTable_430e69d6-8f03-4183-bde7-5f76e04b7d81" w:customStyle="1">
    <w:name w:val="Normal Table_430e69d6-8f03-4183-bde7-5f76e04b7d8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3624d328-3c59-48c5-81dd-49d11ebe9d39" w:customStyle="1">
    <w:name w:val="Table 1_3624d328-3c59-48c5-81dd-49d11ebe9d39"/>
    <w:basedOn w:val="NormalTable_430e69d6-8f03-4183-bde7-5f76e04b7d81"/>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edf73f83-2792-41bf-a11c-36ff71e2c2aa" w:customStyle="1">
    <w:name w:val="Normal Table_edf73f83-2792-41bf-a11c-36ff71e2c2a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d958ae8a-325c-4a32-9f41-7fbc67f24078" w:customStyle="1">
    <w:name w:val="Table 1_d958ae8a-325c-4a32-9f41-7fbc67f24078"/>
    <w:basedOn w:val="NormalTable_edf73f83-2792-41bf-a11c-36ff71e2c2aa"/>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dd1953b7-c336-4269-b780-d3010c8912d7" w:customStyle="1">
    <w:name w:val="Normal Table_dd1953b7-c336-4269-b780-d3010c8912d7"/>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41c3952-df28-450c-8c00-23f1b78939db" w:customStyle="1">
    <w:name w:val="Table 1_941c3952-df28-450c-8c00-23f1b78939db"/>
    <w:basedOn w:val="NormalTable_dd1953b7-c336-4269-b780-d3010c8912d7"/>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2" Type="http://schemas.openxmlformats.org/officeDocument/2006/relationships/footer" Target="footer2.xml" /><Relationship Id="rId4" Type="http://schemas.openxmlformats.org/officeDocument/2006/relationships/footer" Target="footer4.xml" /><Relationship Id="rId6" Type="http://schemas.openxmlformats.org/officeDocument/2006/relationships/footer" Target="footer6.xml" /><Relationship Id="rId8" Type="http://schemas.openxmlformats.org/officeDocument/2006/relationships/footer" Target="footer8.xml" /><Relationship Id="rId10" Type="http://schemas.openxmlformats.org/officeDocument/2006/relationships/footer" Target="footer10.xml" /><Relationship Id="rId12" Type="http://schemas.openxmlformats.org/officeDocument/2006/relationships/footer" Target="footer12.xml" /><Relationship Id="rId14" Type="http://schemas.openxmlformats.org/officeDocument/2006/relationships/footer" Target="footer14.xml" /><Relationship Id="rId1" Type="http://schemas.openxmlformats.org/officeDocument/2006/relationships/header" Target="header1.xml" /><Relationship Id="rId3" Type="http://schemas.openxmlformats.org/officeDocument/2006/relationships/header" Target="header3.xml" /><Relationship Id="rId5" Type="http://schemas.openxmlformats.org/officeDocument/2006/relationships/header" Target="header5.xml" /><Relationship Id="rId7" Type="http://schemas.openxmlformats.org/officeDocument/2006/relationships/header" Target="header7.xml" /><Relationship Id="rId9" Type="http://schemas.openxmlformats.org/officeDocument/2006/relationships/header" Target="header9.xml" /><Relationship Id="rId11" Type="http://schemas.openxmlformats.org/officeDocument/2006/relationships/header" Target="header11.xml" /><Relationship Id="rId13" Type="http://schemas.openxmlformats.org/officeDocument/2006/relationships/header" Target="header1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2026-05-11T16:43:41Z</dcterms:created>
  <dcterms:modified xsi:type="dcterms:W3CDTF">2026-05-11T16:43:41Z</dcterms:modified>
</cp:coreProperties>
</file>