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8D264" w14:textId="161B8313" w:rsidR="00745820" w:rsidRDefault="00745820">
      <w:pPr>
        <w:spacing w:before="200" w:after="200"/>
        <w:jc w:val="center"/>
      </w:pPr>
    </w:p>
    <w:p w14:paraId="52CC03B2" w14:textId="77777777" w:rsidR="00745820" w:rsidRDefault="008D109D">
      <w:pPr>
        <w:spacing w:before="60" w:after="720" w:line="360" w:lineRule="auto"/>
        <w:jc w:val="center"/>
      </w:pPr>
      <w:r>
        <w:rPr>
          <w:rFonts w:ascii="Calibri" w:eastAsia="Calibri" w:hAnsi="Calibri" w:cs="Calibri"/>
          <w:color w:val="666666"/>
          <w:sz w:val="22"/>
          <w:szCs w:val="22"/>
        </w:rPr>
        <w:t>PREPARED MAY 2026</w:t>
      </w:r>
    </w:p>
    <w:p w14:paraId="77B6946F" w14:textId="77777777" w:rsidR="00745820" w:rsidRDefault="00745820">
      <w:pPr>
        <w:pBdr>
          <w:bottom w:val="single" w:sz="6" w:space="0" w:color="B8860B"/>
        </w:pBdr>
        <w:spacing w:before="240" w:after="240"/>
      </w:pPr>
    </w:p>
    <w:p w14:paraId="32695F2F" w14:textId="77777777" w:rsidR="00745820" w:rsidRDefault="008D109D">
      <w:pPr>
        <w:spacing w:before="60" w:after="120" w:line="360" w:lineRule="auto"/>
        <w:jc w:val="center"/>
      </w:pPr>
      <w:r>
        <w:rPr>
          <w:rFonts w:ascii="Calibri" w:eastAsia="Calibri" w:hAnsi="Calibri" w:cs="Calibri"/>
          <w:b/>
          <w:bCs/>
          <w:color w:val="0A1628"/>
          <w:spacing w:val="15"/>
          <w:sz w:val="60"/>
          <w:szCs w:val="60"/>
        </w:rPr>
        <w:t>INVESTMENT OFFERING</w:t>
      </w:r>
      <w:r>
        <w:rPr>
          <w:rFonts w:ascii="Calibri" w:eastAsia="Calibri" w:hAnsi="Calibri" w:cs="Calibri"/>
          <w:b/>
          <w:bCs/>
          <w:color w:val="0A1628"/>
          <w:sz w:val="60"/>
          <w:szCs w:val="60"/>
        </w:rPr>
        <w:br/>
      </w:r>
      <w:r>
        <w:rPr>
          <w:rFonts w:ascii="Calibri" w:eastAsia="Calibri" w:hAnsi="Calibri" w:cs="Calibri"/>
          <w:b/>
          <w:bCs/>
          <w:color w:val="0A1628"/>
          <w:spacing w:val="15"/>
          <w:sz w:val="60"/>
          <w:szCs w:val="60"/>
        </w:rPr>
        <w:t>MEMORANDUM</w:t>
      </w:r>
    </w:p>
    <w:p w14:paraId="0F756778" w14:textId="77777777" w:rsidR="00745820" w:rsidRDefault="008D109D">
      <w:pPr>
        <w:spacing w:before="60" w:after="240" w:line="360" w:lineRule="auto"/>
        <w:jc w:val="center"/>
      </w:pPr>
      <w:r>
        <w:rPr>
          <w:rFonts w:ascii="Calibri" w:eastAsia="Calibri" w:hAnsi="Calibri" w:cs="Calibri"/>
          <w:b/>
          <w:bCs/>
          <w:color w:val="B8860B"/>
          <w:sz w:val="40"/>
          <w:szCs w:val="40"/>
        </w:rPr>
        <w:t>Mount Dora Downtown Portfolio</w:t>
      </w:r>
    </w:p>
    <w:p w14:paraId="260F0E75" w14:textId="77777777" w:rsidR="00745820" w:rsidRDefault="00745820">
      <w:pPr>
        <w:pBdr>
          <w:bottom w:val="single" w:sz="6" w:space="0" w:color="B8860B"/>
        </w:pBdr>
        <w:spacing w:before="240" w:after="240"/>
      </w:pPr>
    </w:p>
    <w:p w14:paraId="2AAA6A42" w14:textId="77777777" w:rsidR="00745820" w:rsidRDefault="008D109D">
      <w:pPr>
        <w:spacing w:before="60" w:after="360" w:line="360" w:lineRule="auto"/>
        <w:jc w:val="center"/>
      </w:pPr>
      <w:r>
        <w:rPr>
          <w:rFonts w:ascii="Calibri" w:eastAsia="Calibri" w:hAnsi="Calibri" w:cs="Calibri"/>
          <w:i/>
          <w:iCs/>
          <w:color w:val="333333"/>
          <w:sz w:val="22"/>
          <w:szCs w:val="22"/>
        </w:rPr>
        <w:t>“A Curated Four-Building Experiential Retail &amp; Mixed-Use Campus</w:t>
      </w:r>
      <w:r>
        <w:rPr>
          <w:rFonts w:ascii="Calibri" w:eastAsia="Calibri" w:hAnsi="Calibri" w:cs="Calibri"/>
          <w:i/>
          <w:iCs/>
          <w:color w:val="333333"/>
          <w:sz w:val="22"/>
          <w:szCs w:val="22"/>
        </w:rPr>
        <w:br/>
        <w:t>in Florida’s Premier Lakeside Destination”</w:t>
      </w:r>
    </w:p>
    <w:p w14:paraId="66BB31F4" w14:textId="77777777" w:rsidR="00745820" w:rsidRDefault="008D109D">
      <w:pPr>
        <w:spacing w:before="60" w:after="80" w:line="360" w:lineRule="auto"/>
        <w:jc w:val="center"/>
      </w:pPr>
      <w:r>
        <w:rPr>
          <w:rFonts w:ascii="Calibri" w:eastAsia="Calibri" w:hAnsi="Calibri" w:cs="Calibri"/>
          <w:b/>
          <w:bCs/>
          <w:color w:val="0A1628"/>
        </w:rPr>
        <w:t>Downtown Mount Dora  |  Lake County, Florida</w:t>
      </w:r>
    </w:p>
    <w:p w14:paraId="36783E86" w14:textId="5B07591C" w:rsidR="00745820" w:rsidRDefault="008D109D">
      <w:pPr>
        <w:spacing w:before="60" w:after="80" w:line="360" w:lineRule="auto"/>
        <w:jc w:val="center"/>
      </w:pPr>
      <w:r>
        <w:rPr>
          <w:rFonts w:ascii="Calibri" w:eastAsia="Calibri" w:hAnsi="Calibri" w:cs="Calibri"/>
          <w:color w:val="1A1A2E"/>
          <w:sz w:val="22"/>
          <w:szCs w:val="22"/>
        </w:rPr>
        <w:t xml:space="preserve">Total Portfolio: </w:t>
      </w:r>
      <w:r>
        <w:rPr>
          <w:rFonts w:ascii="Calibri" w:eastAsia="Calibri" w:hAnsi="Calibri" w:cs="Calibri"/>
          <w:b/>
          <w:bCs/>
          <w:color w:val="1A1A2E"/>
          <w:sz w:val="22"/>
          <w:szCs w:val="22"/>
        </w:rPr>
        <w:t>17,817 Square Feet</w:t>
      </w:r>
      <w:r>
        <w:rPr>
          <w:rFonts w:ascii="Calibri" w:eastAsia="Calibri" w:hAnsi="Calibri" w:cs="Calibri"/>
          <w:color w:val="1A1A2E"/>
          <w:sz w:val="22"/>
          <w:szCs w:val="22"/>
        </w:rPr>
        <w:t xml:space="preserve">  |  </w:t>
      </w:r>
      <w:r>
        <w:rPr>
          <w:rFonts w:ascii="Calibri" w:eastAsia="Calibri" w:hAnsi="Calibri" w:cs="Calibri"/>
          <w:b/>
          <w:bCs/>
          <w:color w:val="1A1A2E"/>
          <w:sz w:val="22"/>
          <w:szCs w:val="22"/>
        </w:rPr>
        <w:t>4 Buildings</w:t>
      </w:r>
      <w:r>
        <w:rPr>
          <w:rFonts w:ascii="Calibri" w:eastAsia="Calibri" w:hAnsi="Calibri" w:cs="Calibri"/>
          <w:color w:val="1A1A2E"/>
          <w:sz w:val="22"/>
          <w:szCs w:val="22"/>
        </w:rPr>
        <w:t xml:space="preserve">  |  </w:t>
      </w:r>
      <w:r>
        <w:rPr>
          <w:rFonts w:ascii="Calibri" w:eastAsia="Calibri" w:hAnsi="Calibri" w:cs="Calibri"/>
          <w:b/>
          <w:bCs/>
          <w:color w:val="1A1A2E"/>
          <w:sz w:val="22"/>
          <w:szCs w:val="22"/>
        </w:rPr>
        <w:t>3</w:t>
      </w:r>
      <w:r w:rsidR="009A0F61">
        <w:rPr>
          <w:rFonts w:ascii="Calibri" w:eastAsia="Calibri" w:hAnsi="Calibri" w:cs="Calibri"/>
          <w:b/>
          <w:bCs/>
          <w:color w:val="1A1A2E"/>
          <w:sz w:val="22"/>
          <w:szCs w:val="22"/>
        </w:rPr>
        <w:t>1</w:t>
      </w:r>
      <w:r>
        <w:rPr>
          <w:rFonts w:ascii="Calibri" w:eastAsia="Calibri" w:hAnsi="Calibri" w:cs="Calibri"/>
          <w:b/>
          <w:bCs/>
          <w:color w:val="1A1A2E"/>
          <w:sz w:val="22"/>
          <w:szCs w:val="22"/>
        </w:rPr>
        <w:t xml:space="preserve"> Parking Spaces</w:t>
      </w:r>
    </w:p>
    <w:p w14:paraId="3E036F33" w14:textId="204126DA" w:rsidR="00745820" w:rsidRDefault="00745820">
      <w:pPr>
        <w:spacing w:before="200" w:after="80"/>
        <w:jc w:val="center"/>
      </w:pPr>
    </w:p>
    <w:p w14:paraId="24CDCD2C" w14:textId="10AEE2D8" w:rsidR="00745820" w:rsidRDefault="008D109D">
      <w:pPr>
        <w:spacing w:after="200"/>
        <w:jc w:val="center"/>
      </w:pPr>
      <w:r>
        <w:rPr>
          <w:i/>
          <w:iCs/>
          <w:color w:val="6B7280"/>
          <w:sz w:val="20"/>
          <w:szCs w:val="20"/>
        </w:rPr>
        <w:t xml:space="preserve">Donnelly Street, Historic Downtown Mount Dora — </w:t>
      </w:r>
      <w:r w:rsidR="004718F2">
        <w:rPr>
          <w:i/>
          <w:iCs/>
          <w:color w:val="6B7280"/>
          <w:sz w:val="20"/>
          <w:szCs w:val="20"/>
        </w:rPr>
        <w:t>The primary Comme</w:t>
      </w:r>
      <w:r w:rsidR="00234F86">
        <w:rPr>
          <w:i/>
          <w:iCs/>
          <w:color w:val="6B7280"/>
          <w:sz w:val="20"/>
          <w:szCs w:val="20"/>
        </w:rPr>
        <w:t>rcial Corridor of the Portfolio</w:t>
      </w:r>
    </w:p>
    <w:p w14:paraId="0644DC11" w14:textId="77777777" w:rsidR="00745820" w:rsidRDefault="008D109D">
      <w:pPr>
        <w:spacing w:before="60" w:after="120" w:line="360" w:lineRule="auto"/>
        <w:jc w:val="center"/>
      </w:pPr>
      <w:r>
        <w:rPr>
          <w:rFonts w:ascii="Calibri" w:eastAsia="Calibri" w:hAnsi="Calibri" w:cs="Calibri"/>
          <w:b/>
          <w:bCs/>
          <w:color w:val="0A1628"/>
          <w:spacing w:val="45"/>
          <w:sz w:val="20"/>
          <w:szCs w:val="20"/>
        </w:rPr>
        <w:t>■  CONFIDENTIAL  ■</w:t>
      </w:r>
    </w:p>
    <w:p w14:paraId="1ABB2BCE" w14:textId="77777777" w:rsidR="00745820" w:rsidRDefault="00745820">
      <w:pPr>
        <w:pBdr>
          <w:bottom w:val="single" w:sz="6" w:space="0" w:color="0A1628"/>
        </w:pBdr>
        <w:spacing w:before="240" w:after="240"/>
      </w:pPr>
    </w:p>
    <w:p w14:paraId="198C3715" w14:textId="77777777" w:rsidR="00745820" w:rsidRDefault="008D109D">
      <w:pPr>
        <w:spacing w:before="60" w:after="120" w:line="360" w:lineRule="auto"/>
        <w:jc w:val="center"/>
      </w:pPr>
      <w:r>
        <w:rPr>
          <w:rFonts w:ascii="Calibri" w:eastAsia="Calibri" w:hAnsi="Calibri" w:cs="Calibri"/>
          <w:color w:val="999999"/>
          <w:sz w:val="22"/>
          <w:szCs w:val="22"/>
        </w:rPr>
        <w:t>This document is strictly confidential and intended solely for the use of the designated recipient(s).</w:t>
      </w:r>
    </w:p>
    <w:p w14:paraId="46B4E8BF" w14:textId="77777777" w:rsidR="006344AF" w:rsidRDefault="006344AF">
      <w:pPr>
        <w:pStyle w:val="Heading1"/>
        <w:spacing w:before="480" w:after="120" w:line="312" w:lineRule="auto"/>
        <w:rPr>
          <w:rFonts w:ascii="Calibri" w:eastAsia="Calibri" w:hAnsi="Calibri" w:cs="Calibri"/>
          <w:color w:val="0A1628"/>
        </w:rPr>
      </w:pPr>
    </w:p>
    <w:p w14:paraId="4DE72ECD" w14:textId="77777777" w:rsidR="006344AF" w:rsidRDefault="006344AF">
      <w:pPr>
        <w:pStyle w:val="Heading1"/>
        <w:spacing w:before="480" w:after="120" w:line="312" w:lineRule="auto"/>
        <w:rPr>
          <w:rFonts w:ascii="Calibri" w:eastAsia="Calibri" w:hAnsi="Calibri" w:cs="Calibri"/>
          <w:color w:val="0A1628"/>
        </w:rPr>
      </w:pPr>
    </w:p>
    <w:p w14:paraId="6B2D2E44" w14:textId="2551CB0B" w:rsidR="00745820" w:rsidRDefault="008D109D">
      <w:pPr>
        <w:pStyle w:val="Heading1"/>
        <w:spacing w:before="480" w:after="120" w:line="312" w:lineRule="auto"/>
      </w:pPr>
      <w:r>
        <w:rPr>
          <w:rFonts w:ascii="Calibri" w:eastAsia="Calibri" w:hAnsi="Calibri" w:cs="Calibri"/>
          <w:color w:val="0A1628"/>
        </w:rPr>
        <w:lastRenderedPageBreak/>
        <w:t>Table of Contents</w:t>
      </w:r>
    </w:p>
    <w:p w14:paraId="3F54D1C7" w14:textId="77777777" w:rsidR="00745820" w:rsidRDefault="00745820">
      <w:pPr>
        <w:spacing w:before="200"/>
      </w:pPr>
    </w:p>
    <w:tbl>
      <w:tblPr>
        <w:tblW w:w="5000" w:type="pct"/>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1498"/>
        <w:gridCol w:w="7862"/>
      </w:tblGrid>
      <w:tr w:rsidR="00745820" w14:paraId="64A90ED7" w14:textId="77777777">
        <w:tc>
          <w:tcPr>
            <w:tcW w:w="800" w:type="pct"/>
            <w:tcMar>
              <w:top w:w="90" w:type="dxa"/>
              <w:left w:w="120" w:type="dxa"/>
              <w:bottom w:w="90" w:type="dxa"/>
              <w:right w:w="120" w:type="dxa"/>
            </w:tcMar>
          </w:tcPr>
          <w:p w14:paraId="34008880" w14:textId="77777777" w:rsidR="00745820" w:rsidRDefault="008D109D">
            <w:r>
              <w:rPr>
                <w:rFonts w:ascii="Calibri" w:eastAsia="Calibri" w:hAnsi="Calibri" w:cs="Calibri"/>
                <w:b/>
                <w:bCs/>
                <w:color w:val="0A1628"/>
                <w:sz w:val="22"/>
                <w:szCs w:val="22"/>
              </w:rPr>
              <w:t>I.</w:t>
            </w:r>
          </w:p>
        </w:tc>
        <w:tc>
          <w:tcPr>
            <w:tcW w:w="4200" w:type="pct"/>
            <w:tcMar>
              <w:top w:w="90" w:type="dxa"/>
              <w:left w:w="120" w:type="dxa"/>
              <w:bottom w:w="90" w:type="dxa"/>
              <w:right w:w="120" w:type="dxa"/>
            </w:tcMar>
          </w:tcPr>
          <w:p w14:paraId="13815BBD" w14:textId="77777777" w:rsidR="00745820" w:rsidRDefault="008D109D">
            <w:r>
              <w:rPr>
                <w:rFonts w:ascii="Calibri" w:eastAsia="Calibri" w:hAnsi="Calibri" w:cs="Calibri"/>
                <w:b/>
                <w:bCs/>
                <w:color w:val="0A1628"/>
                <w:sz w:val="22"/>
                <w:szCs w:val="22"/>
              </w:rPr>
              <w:t>Executive Summary</w:t>
            </w:r>
          </w:p>
        </w:tc>
      </w:tr>
      <w:tr w:rsidR="00745820" w14:paraId="60CCAC40" w14:textId="77777777">
        <w:tc>
          <w:tcPr>
            <w:tcW w:w="800" w:type="pct"/>
            <w:tcMar>
              <w:top w:w="90" w:type="dxa"/>
              <w:left w:w="120" w:type="dxa"/>
              <w:bottom w:w="90" w:type="dxa"/>
              <w:right w:w="120" w:type="dxa"/>
            </w:tcMar>
          </w:tcPr>
          <w:p w14:paraId="44AB3C40" w14:textId="77777777" w:rsidR="00745820" w:rsidRDefault="008D109D">
            <w:r>
              <w:rPr>
                <w:rFonts w:ascii="Calibri" w:eastAsia="Calibri" w:hAnsi="Calibri" w:cs="Calibri"/>
                <w:b/>
                <w:bCs/>
                <w:color w:val="0A1628"/>
                <w:sz w:val="22"/>
                <w:szCs w:val="22"/>
              </w:rPr>
              <w:t>II.</w:t>
            </w:r>
          </w:p>
        </w:tc>
        <w:tc>
          <w:tcPr>
            <w:tcW w:w="4200" w:type="pct"/>
            <w:tcMar>
              <w:top w:w="90" w:type="dxa"/>
              <w:left w:w="120" w:type="dxa"/>
              <w:bottom w:w="90" w:type="dxa"/>
              <w:right w:w="120" w:type="dxa"/>
            </w:tcMar>
          </w:tcPr>
          <w:p w14:paraId="78333D89" w14:textId="77777777" w:rsidR="00745820" w:rsidRDefault="008D109D">
            <w:r>
              <w:rPr>
                <w:rFonts w:ascii="Calibri" w:eastAsia="Calibri" w:hAnsi="Calibri" w:cs="Calibri"/>
                <w:b/>
                <w:bCs/>
                <w:color w:val="0A1628"/>
                <w:sz w:val="22"/>
                <w:szCs w:val="22"/>
              </w:rPr>
              <w:t>Portfolio Overview</w:t>
            </w:r>
          </w:p>
        </w:tc>
      </w:tr>
      <w:tr w:rsidR="00745820" w14:paraId="5DE27BB0" w14:textId="77777777">
        <w:tc>
          <w:tcPr>
            <w:tcW w:w="800" w:type="pct"/>
            <w:tcMar>
              <w:top w:w="90" w:type="dxa"/>
              <w:left w:w="120" w:type="dxa"/>
              <w:bottom w:w="90" w:type="dxa"/>
              <w:right w:w="120" w:type="dxa"/>
            </w:tcMar>
          </w:tcPr>
          <w:p w14:paraId="26F8FA47" w14:textId="77777777" w:rsidR="00745820" w:rsidRDefault="008D109D">
            <w:r>
              <w:rPr>
                <w:rFonts w:ascii="Calibri" w:eastAsia="Calibri" w:hAnsi="Calibri" w:cs="Calibri"/>
                <w:b/>
                <w:bCs/>
                <w:color w:val="0A1628"/>
                <w:sz w:val="22"/>
                <w:szCs w:val="22"/>
              </w:rPr>
              <w:t>III.</w:t>
            </w:r>
          </w:p>
        </w:tc>
        <w:tc>
          <w:tcPr>
            <w:tcW w:w="4200" w:type="pct"/>
            <w:tcMar>
              <w:top w:w="90" w:type="dxa"/>
              <w:left w:w="120" w:type="dxa"/>
              <w:bottom w:w="90" w:type="dxa"/>
              <w:right w:w="120" w:type="dxa"/>
            </w:tcMar>
          </w:tcPr>
          <w:p w14:paraId="38A64644" w14:textId="77777777" w:rsidR="00745820" w:rsidRDefault="008D109D">
            <w:r>
              <w:rPr>
                <w:rFonts w:ascii="Calibri" w:eastAsia="Calibri" w:hAnsi="Calibri" w:cs="Calibri"/>
                <w:b/>
                <w:bCs/>
                <w:color w:val="0A1628"/>
                <w:sz w:val="22"/>
                <w:szCs w:val="22"/>
              </w:rPr>
              <w:t>The Experiential Campus Concept</w:t>
            </w:r>
          </w:p>
        </w:tc>
      </w:tr>
      <w:tr w:rsidR="00745820" w14:paraId="02DC56D6" w14:textId="77777777">
        <w:tc>
          <w:tcPr>
            <w:tcW w:w="800" w:type="pct"/>
            <w:tcMar>
              <w:top w:w="90" w:type="dxa"/>
              <w:left w:w="120" w:type="dxa"/>
              <w:bottom w:w="90" w:type="dxa"/>
              <w:right w:w="120" w:type="dxa"/>
            </w:tcMar>
          </w:tcPr>
          <w:p w14:paraId="54AFF8BC" w14:textId="77777777" w:rsidR="00745820" w:rsidRDefault="008D109D">
            <w:r>
              <w:rPr>
                <w:rFonts w:ascii="Calibri" w:eastAsia="Calibri" w:hAnsi="Calibri" w:cs="Calibri"/>
                <w:b/>
                <w:bCs/>
                <w:color w:val="0A1628"/>
                <w:sz w:val="22"/>
                <w:szCs w:val="22"/>
              </w:rPr>
              <w:t>IV.</w:t>
            </w:r>
          </w:p>
        </w:tc>
        <w:tc>
          <w:tcPr>
            <w:tcW w:w="4200" w:type="pct"/>
            <w:tcMar>
              <w:top w:w="90" w:type="dxa"/>
              <w:left w:w="120" w:type="dxa"/>
              <w:bottom w:w="90" w:type="dxa"/>
              <w:right w:w="120" w:type="dxa"/>
            </w:tcMar>
          </w:tcPr>
          <w:p w14:paraId="7DE6306A" w14:textId="77777777" w:rsidR="00745820" w:rsidRDefault="008D109D">
            <w:r>
              <w:rPr>
                <w:rFonts w:ascii="Calibri" w:eastAsia="Calibri" w:hAnsi="Calibri" w:cs="Calibri"/>
                <w:b/>
                <w:bCs/>
                <w:color w:val="0A1628"/>
                <w:sz w:val="22"/>
                <w:szCs w:val="22"/>
              </w:rPr>
              <w:t>Individual Property Profiles</w:t>
            </w:r>
          </w:p>
        </w:tc>
      </w:tr>
      <w:tr w:rsidR="00745820" w14:paraId="4B0D2F17" w14:textId="77777777">
        <w:tc>
          <w:tcPr>
            <w:tcW w:w="800" w:type="pct"/>
            <w:tcMar>
              <w:top w:w="90" w:type="dxa"/>
              <w:left w:w="120" w:type="dxa"/>
              <w:bottom w:w="90" w:type="dxa"/>
              <w:right w:w="120" w:type="dxa"/>
            </w:tcMar>
          </w:tcPr>
          <w:p w14:paraId="59FBFAD3" w14:textId="77777777" w:rsidR="00745820" w:rsidRDefault="00745820"/>
        </w:tc>
        <w:tc>
          <w:tcPr>
            <w:tcW w:w="4200" w:type="pct"/>
            <w:tcMar>
              <w:top w:w="90" w:type="dxa"/>
              <w:left w:w="120" w:type="dxa"/>
              <w:bottom w:w="90" w:type="dxa"/>
              <w:right w:w="120" w:type="dxa"/>
            </w:tcMar>
          </w:tcPr>
          <w:p w14:paraId="32D25B81" w14:textId="77777777" w:rsidR="00745820" w:rsidRDefault="008D109D">
            <w:r>
              <w:rPr>
                <w:rFonts w:ascii="Calibri" w:eastAsia="Calibri" w:hAnsi="Calibri" w:cs="Calibri"/>
                <w:color w:val="333333"/>
                <w:sz w:val="22"/>
                <w:szCs w:val="22"/>
              </w:rPr>
              <w:t>Property 1: 100 E. 4th Avenue</w:t>
            </w:r>
          </w:p>
        </w:tc>
      </w:tr>
      <w:tr w:rsidR="00745820" w14:paraId="6DDEF893" w14:textId="77777777">
        <w:tc>
          <w:tcPr>
            <w:tcW w:w="800" w:type="pct"/>
            <w:tcMar>
              <w:top w:w="90" w:type="dxa"/>
              <w:left w:w="120" w:type="dxa"/>
              <w:bottom w:w="90" w:type="dxa"/>
              <w:right w:w="120" w:type="dxa"/>
            </w:tcMar>
          </w:tcPr>
          <w:p w14:paraId="53D46D48" w14:textId="77777777" w:rsidR="00745820" w:rsidRDefault="00745820"/>
        </w:tc>
        <w:tc>
          <w:tcPr>
            <w:tcW w:w="4200" w:type="pct"/>
            <w:tcMar>
              <w:top w:w="90" w:type="dxa"/>
              <w:left w:w="120" w:type="dxa"/>
              <w:bottom w:w="90" w:type="dxa"/>
              <w:right w:w="120" w:type="dxa"/>
            </w:tcMar>
          </w:tcPr>
          <w:p w14:paraId="17713A87" w14:textId="77777777" w:rsidR="00745820" w:rsidRDefault="008D109D">
            <w:r>
              <w:rPr>
                <w:rFonts w:ascii="Calibri" w:eastAsia="Calibri" w:hAnsi="Calibri" w:cs="Calibri"/>
                <w:color w:val="333333"/>
                <w:sz w:val="22"/>
                <w:szCs w:val="22"/>
              </w:rPr>
              <w:t>Property 2: 334 N. Donnelly Street</w:t>
            </w:r>
          </w:p>
        </w:tc>
      </w:tr>
      <w:tr w:rsidR="00745820" w14:paraId="7FF5F0B3" w14:textId="77777777">
        <w:tc>
          <w:tcPr>
            <w:tcW w:w="800" w:type="pct"/>
            <w:tcMar>
              <w:top w:w="90" w:type="dxa"/>
              <w:left w:w="120" w:type="dxa"/>
              <w:bottom w:w="90" w:type="dxa"/>
              <w:right w:w="120" w:type="dxa"/>
            </w:tcMar>
          </w:tcPr>
          <w:p w14:paraId="1DF30DB3" w14:textId="77777777" w:rsidR="00745820" w:rsidRDefault="00745820"/>
        </w:tc>
        <w:tc>
          <w:tcPr>
            <w:tcW w:w="4200" w:type="pct"/>
            <w:tcMar>
              <w:top w:w="90" w:type="dxa"/>
              <w:left w:w="120" w:type="dxa"/>
              <w:bottom w:w="90" w:type="dxa"/>
              <w:right w:w="120" w:type="dxa"/>
            </w:tcMar>
          </w:tcPr>
          <w:p w14:paraId="10614DE4" w14:textId="77777777" w:rsidR="00745820" w:rsidRDefault="008D109D">
            <w:r>
              <w:rPr>
                <w:rFonts w:ascii="Calibri" w:eastAsia="Calibri" w:hAnsi="Calibri" w:cs="Calibri"/>
                <w:color w:val="333333"/>
                <w:sz w:val="22"/>
                <w:szCs w:val="22"/>
              </w:rPr>
              <w:t>Property 3: 351 N. Donnelly Street</w:t>
            </w:r>
          </w:p>
        </w:tc>
      </w:tr>
      <w:tr w:rsidR="00745820" w14:paraId="618A74BB" w14:textId="77777777">
        <w:tc>
          <w:tcPr>
            <w:tcW w:w="800" w:type="pct"/>
            <w:tcMar>
              <w:top w:w="90" w:type="dxa"/>
              <w:left w:w="120" w:type="dxa"/>
              <w:bottom w:w="90" w:type="dxa"/>
              <w:right w:w="120" w:type="dxa"/>
            </w:tcMar>
          </w:tcPr>
          <w:p w14:paraId="1920112B" w14:textId="77777777" w:rsidR="00745820" w:rsidRDefault="00745820"/>
        </w:tc>
        <w:tc>
          <w:tcPr>
            <w:tcW w:w="4200" w:type="pct"/>
            <w:tcMar>
              <w:top w:w="90" w:type="dxa"/>
              <w:left w:w="120" w:type="dxa"/>
              <w:bottom w:w="90" w:type="dxa"/>
              <w:right w:w="120" w:type="dxa"/>
            </w:tcMar>
          </w:tcPr>
          <w:p w14:paraId="7E3F681F" w14:textId="77777777" w:rsidR="00745820" w:rsidRDefault="008D109D">
            <w:r>
              <w:rPr>
                <w:rFonts w:ascii="Calibri" w:eastAsia="Calibri" w:hAnsi="Calibri" w:cs="Calibri"/>
                <w:color w:val="333333"/>
                <w:sz w:val="22"/>
                <w:szCs w:val="22"/>
              </w:rPr>
              <w:t>Property 4: 851 N. Donnelly Street</w:t>
            </w:r>
          </w:p>
        </w:tc>
      </w:tr>
      <w:tr w:rsidR="00745820" w14:paraId="7065BA97" w14:textId="77777777">
        <w:tc>
          <w:tcPr>
            <w:tcW w:w="800" w:type="pct"/>
            <w:tcMar>
              <w:top w:w="90" w:type="dxa"/>
              <w:left w:w="120" w:type="dxa"/>
              <w:bottom w:w="90" w:type="dxa"/>
              <w:right w:w="120" w:type="dxa"/>
            </w:tcMar>
          </w:tcPr>
          <w:p w14:paraId="17AD135C" w14:textId="77777777" w:rsidR="00745820" w:rsidRDefault="008D109D">
            <w:r>
              <w:rPr>
                <w:rFonts w:ascii="Calibri" w:eastAsia="Calibri" w:hAnsi="Calibri" w:cs="Calibri"/>
                <w:b/>
                <w:bCs/>
                <w:color w:val="0A1628"/>
                <w:sz w:val="22"/>
                <w:szCs w:val="22"/>
              </w:rPr>
              <w:t>V.</w:t>
            </w:r>
          </w:p>
        </w:tc>
        <w:tc>
          <w:tcPr>
            <w:tcW w:w="4200" w:type="pct"/>
            <w:tcMar>
              <w:top w:w="90" w:type="dxa"/>
              <w:left w:w="120" w:type="dxa"/>
              <w:bottom w:w="90" w:type="dxa"/>
              <w:right w:w="120" w:type="dxa"/>
            </w:tcMar>
          </w:tcPr>
          <w:p w14:paraId="65CC79B3" w14:textId="77777777" w:rsidR="00745820" w:rsidRDefault="008D109D">
            <w:r>
              <w:rPr>
                <w:rFonts w:ascii="Calibri" w:eastAsia="Calibri" w:hAnsi="Calibri" w:cs="Calibri"/>
                <w:b/>
                <w:bCs/>
                <w:color w:val="0A1628"/>
                <w:sz w:val="22"/>
                <w:szCs w:val="22"/>
              </w:rPr>
              <w:t>Market Overview: Mount Dora, Florida</w:t>
            </w:r>
          </w:p>
        </w:tc>
      </w:tr>
      <w:tr w:rsidR="00745820" w14:paraId="00F837DA" w14:textId="77777777">
        <w:tc>
          <w:tcPr>
            <w:tcW w:w="800" w:type="pct"/>
            <w:tcMar>
              <w:top w:w="90" w:type="dxa"/>
              <w:left w:w="120" w:type="dxa"/>
              <w:bottom w:w="90" w:type="dxa"/>
              <w:right w:w="120" w:type="dxa"/>
            </w:tcMar>
          </w:tcPr>
          <w:p w14:paraId="09B428A5" w14:textId="77777777" w:rsidR="00745820" w:rsidRDefault="008D109D">
            <w:r>
              <w:rPr>
                <w:rFonts w:ascii="Calibri" w:eastAsia="Calibri" w:hAnsi="Calibri" w:cs="Calibri"/>
                <w:b/>
                <w:bCs/>
                <w:color w:val="0A1628"/>
                <w:sz w:val="22"/>
                <w:szCs w:val="22"/>
              </w:rPr>
              <w:t>VI.</w:t>
            </w:r>
          </w:p>
        </w:tc>
        <w:tc>
          <w:tcPr>
            <w:tcW w:w="4200" w:type="pct"/>
            <w:tcMar>
              <w:top w:w="90" w:type="dxa"/>
              <w:left w:w="120" w:type="dxa"/>
              <w:bottom w:w="90" w:type="dxa"/>
              <w:right w:w="120" w:type="dxa"/>
            </w:tcMar>
          </w:tcPr>
          <w:p w14:paraId="5F880A19" w14:textId="77777777" w:rsidR="00745820" w:rsidRDefault="008D109D">
            <w:r>
              <w:rPr>
                <w:rFonts w:ascii="Calibri" w:eastAsia="Calibri" w:hAnsi="Calibri" w:cs="Calibri"/>
                <w:b/>
                <w:bCs/>
                <w:color w:val="0A1628"/>
                <w:sz w:val="22"/>
                <w:szCs w:val="22"/>
              </w:rPr>
              <w:t>Investment Highlights</w:t>
            </w:r>
          </w:p>
        </w:tc>
      </w:tr>
      <w:tr w:rsidR="00745820" w14:paraId="6259F55C" w14:textId="77777777">
        <w:tc>
          <w:tcPr>
            <w:tcW w:w="800" w:type="pct"/>
            <w:tcMar>
              <w:top w:w="90" w:type="dxa"/>
              <w:left w:w="120" w:type="dxa"/>
              <w:bottom w:w="90" w:type="dxa"/>
              <w:right w:w="120" w:type="dxa"/>
            </w:tcMar>
          </w:tcPr>
          <w:p w14:paraId="4D8366B5" w14:textId="77777777" w:rsidR="00745820" w:rsidRDefault="008D109D">
            <w:r>
              <w:rPr>
                <w:rFonts w:ascii="Calibri" w:eastAsia="Calibri" w:hAnsi="Calibri" w:cs="Calibri"/>
                <w:b/>
                <w:bCs/>
                <w:color w:val="0A1628"/>
                <w:sz w:val="22"/>
                <w:szCs w:val="22"/>
              </w:rPr>
              <w:t>VII.</w:t>
            </w:r>
          </w:p>
        </w:tc>
        <w:tc>
          <w:tcPr>
            <w:tcW w:w="4200" w:type="pct"/>
            <w:tcMar>
              <w:top w:w="90" w:type="dxa"/>
              <w:left w:w="120" w:type="dxa"/>
              <w:bottom w:w="90" w:type="dxa"/>
              <w:right w:w="120" w:type="dxa"/>
            </w:tcMar>
          </w:tcPr>
          <w:p w14:paraId="450816A8" w14:textId="77777777" w:rsidR="00745820" w:rsidRDefault="008D109D">
            <w:r>
              <w:rPr>
                <w:rFonts w:ascii="Calibri" w:eastAsia="Calibri" w:hAnsi="Calibri" w:cs="Calibri"/>
                <w:b/>
                <w:bCs/>
                <w:color w:val="0A1628"/>
                <w:sz w:val="22"/>
                <w:szCs w:val="22"/>
              </w:rPr>
              <w:t>Disclaimer &amp; Confidentiality Notice</w:t>
            </w:r>
          </w:p>
        </w:tc>
      </w:tr>
    </w:tbl>
    <w:p w14:paraId="3026AB75" w14:textId="77777777" w:rsidR="00745820" w:rsidRDefault="00745820">
      <w:pPr>
        <w:spacing w:after="200"/>
      </w:pPr>
    </w:p>
    <w:p w14:paraId="568C6398" w14:textId="77777777" w:rsidR="00745820" w:rsidRDefault="00745820">
      <w:pPr>
        <w:pBdr>
          <w:bottom w:val="single" w:sz="6" w:space="0" w:color="B8860B"/>
        </w:pBdr>
        <w:spacing w:before="240" w:after="240"/>
      </w:pPr>
    </w:p>
    <w:p w14:paraId="62D5B1FB" w14:textId="77777777" w:rsidR="00745820" w:rsidRDefault="008D109D">
      <w:pPr>
        <w:pStyle w:val="Heading1"/>
        <w:spacing w:before="480" w:after="120" w:line="312" w:lineRule="auto"/>
      </w:pPr>
      <w:r>
        <w:rPr>
          <w:rFonts w:ascii="Calibri" w:eastAsia="Calibri" w:hAnsi="Calibri" w:cs="Calibri"/>
          <w:color w:val="0A1628"/>
        </w:rPr>
        <w:t>I. Executive Summary</w:t>
      </w:r>
    </w:p>
    <w:p w14:paraId="3B19DC60" w14:textId="2D4925D6" w:rsidR="00745820" w:rsidRDefault="008D109D">
      <w:pPr>
        <w:spacing w:before="60" w:after="120" w:line="360" w:lineRule="auto"/>
      </w:pPr>
      <w:r>
        <w:rPr>
          <w:rFonts w:ascii="Calibri" w:eastAsia="Calibri" w:hAnsi="Calibri" w:cs="Calibri"/>
          <w:color w:val="1A1A2E"/>
          <w:sz w:val="22"/>
          <w:szCs w:val="22"/>
        </w:rPr>
        <w:t xml:space="preserve">This Investment Offering Memorandum presents a rare opportunity to acquire a contiguous portfolio of </w:t>
      </w:r>
      <w:r w:rsidR="00AF0F52">
        <w:rPr>
          <w:rFonts w:ascii="Calibri" w:eastAsia="Calibri" w:hAnsi="Calibri" w:cs="Calibri"/>
          <w:b/>
          <w:bCs/>
          <w:color w:val="1A1A2E"/>
          <w:sz w:val="22"/>
          <w:szCs w:val="22"/>
        </w:rPr>
        <w:t>three</w:t>
      </w:r>
      <w:r>
        <w:rPr>
          <w:rFonts w:ascii="Calibri" w:eastAsia="Calibri" w:hAnsi="Calibri" w:cs="Calibri"/>
          <w:b/>
          <w:bCs/>
          <w:color w:val="1A1A2E"/>
          <w:sz w:val="22"/>
          <w:szCs w:val="22"/>
        </w:rPr>
        <w:t xml:space="preserve"> fully occupied</w:t>
      </w:r>
      <w:r w:rsidR="00AF0F52">
        <w:rPr>
          <w:rFonts w:ascii="Calibri" w:eastAsia="Calibri" w:hAnsi="Calibri" w:cs="Calibri"/>
          <w:b/>
          <w:bCs/>
          <w:color w:val="1A1A2E"/>
          <w:sz w:val="22"/>
          <w:szCs w:val="22"/>
        </w:rPr>
        <w:t xml:space="preserve"> one 80% occupied</w:t>
      </w:r>
      <w:r>
        <w:rPr>
          <w:rFonts w:ascii="Calibri" w:eastAsia="Calibri" w:hAnsi="Calibri" w:cs="Calibri"/>
          <w:b/>
          <w:bCs/>
          <w:color w:val="1A1A2E"/>
          <w:sz w:val="22"/>
          <w:szCs w:val="22"/>
        </w:rPr>
        <w:t xml:space="preserve"> commercial buildings</w:t>
      </w:r>
      <w:r>
        <w:rPr>
          <w:rFonts w:ascii="Calibri" w:eastAsia="Calibri" w:hAnsi="Calibri" w:cs="Calibri"/>
          <w:color w:val="1A1A2E"/>
          <w:sz w:val="22"/>
          <w:szCs w:val="22"/>
        </w:rPr>
        <w:t xml:space="preserve"> totaling </w:t>
      </w:r>
      <w:r>
        <w:rPr>
          <w:rFonts w:ascii="Calibri" w:eastAsia="Calibri" w:hAnsi="Calibri" w:cs="Calibri"/>
          <w:b/>
          <w:bCs/>
          <w:color w:val="1A1A2E"/>
          <w:sz w:val="22"/>
          <w:szCs w:val="22"/>
        </w:rPr>
        <w:t>17,817 square feet</w:t>
      </w:r>
      <w:r>
        <w:rPr>
          <w:rFonts w:ascii="Calibri" w:eastAsia="Calibri" w:hAnsi="Calibri" w:cs="Calibri"/>
          <w:color w:val="1A1A2E"/>
          <w:sz w:val="22"/>
          <w:szCs w:val="22"/>
        </w:rPr>
        <w:t xml:space="preserve"> with </w:t>
      </w:r>
      <w:r>
        <w:rPr>
          <w:rFonts w:ascii="Calibri" w:eastAsia="Calibri" w:hAnsi="Calibri" w:cs="Calibri"/>
          <w:b/>
          <w:bCs/>
          <w:color w:val="1A1A2E"/>
          <w:sz w:val="22"/>
          <w:szCs w:val="22"/>
        </w:rPr>
        <w:t>3</w:t>
      </w:r>
      <w:r w:rsidR="000A4578">
        <w:rPr>
          <w:rFonts w:ascii="Calibri" w:eastAsia="Calibri" w:hAnsi="Calibri" w:cs="Calibri"/>
          <w:b/>
          <w:bCs/>
          <w:color w:val="1A1A2E"/>
          <w:sz w:val="22"/>
          <w:szCs w:val="22"/>
        </w:rPr>
        <w:t>1</w:t>
      </w:r>
      <w:r>
        <w:rPr>
          <w:rFonts w:ascii="Calibri" w:eastAsia="Calibri" w:hAnsi="Calibri" w:cs="Calibri"/>
          <w:b/>
          <w:bCs/>
          <w:color w:val="1A1A2E"/>
          <w:sz w:val="22"/>
          <w:szCs w:val="22"/>
        </w:rPr>
        <w:t xml:space="preserve"> dedicated parking spaces</w:t>
      </w:r>
      <w:r>
        <w:rPr>
          <w:rFonts w:ascii="Calibri" w:eastAsia="Calibri" w:hAnsi="Calibri" w:cs="Calibri"/>
          <w:color w:val="1A1A2E"/>
          <w:sz w:val="22"/>
          <w:szCs w:val="22"/>
        </w:rPr>
        <w:t xml:space="preserve"> in the heart of </w:t>
      </w:r>
      <w:r>
        <w:rPr>
          <w:rFonts w:ascii="Calibri" w:eastAsia="Calibri" w:hAnsi="Calibri" w:cs="Calibri"/>
          <w:b/>
          <w:bCs/>
          <w:color w:val="1A1A2E"/>
          <w:sz w:val="22"/>
          <w:szCs w:val="22"/>
        </w:rPr>
        <w:t>Downtown Mount Dora, Florida</w:t>
      </w:r>
      <w:r>
        <w:rPr>
          <w:rFonts w:ascii="Calibri" w:eastAsia="Calibri" w:hAnsi="Calibri" w:cs="Calibri"/>
          <w:color w:val="1A1A2E"/>
          <w:sz w:val="22"/>
          <w:szCs w:val="22"/>
        </w:rPr>
        <w:t xml:space="preserve"> — one of the state’s most acclaimed lakeside destinations and a nationally recognized center for arts, culture, and experiential tourism.</w:t>
      </w:r>
    </w:p>
    <w:p w14:paraId="6A2821D2" w14:textId="77777777" w:rsidR="00745820" w:rsidRDefault="008D109D">
      <w:pPr>
        <w:spacing w:before="60" w:after="120" w:line="360" w:lineRule="auto"/>
      </w:pPr>
      <w:r>
        <w:rPr>
          <w:rFonts w:ascii="Calibri" w:eastAsia="Calibri" w:hAnsi="Calibri" w:cs="Calibri"/>
          <w:color w:val="1A1A2E"/>
          <w:sz w:val="22"/>
          <w:szCs w:val="22"/>
        </w:rPr>
        <w:t xml:space="preserve">The portfolio is composed of four strategically positioned properties along Donnelly Street and 4th Avenue — the primary commercial corridors of Mount Dora’s walkable downtown core. Together, they offer a diversified tenant mix spanning </w:t>
      </w:r>
      <w:r>
        <w:rPr>
          <w:rFonts w:ascii="Calibri" w:eastAsia="Calibri" w:hAnsi="Calibri" w:cs="Calibri"/>
          <w:b/>
          <w:bCs/>
          <w:color w:val="1A1A2E"/>
          <w:sz w:val="22"/>
          <w:szCs w:val="22"/>
        </w:rPr>
        <w:t>food &amp; beverage, specialty retail, and professional office</w:t>
      </w:r>
      <w:r>
        <w:rPr>
          <w:rFonts w:ascii="Calibri" w:eastAsia="Calibri" w:hAnsi="Calibri" w:cs="Calibri"/>
          <w:color w:val="1A1A2E"/>
          <w:sz w:val="22"/>
          <w:szCs w:val="22"/>
        </w:rPr>
        <w:t xml:space="preserve"> uses, providing investors with multiple revenue streams and natural downside protection against single-sector risk.</w:t>
      </w:r>
    </w:p>
    <w:p w14:paraId="20A6520D" w14:textId="19DE39D0" w:rsidR="00745820" w:rsidRDefault="008D109D">
      <w:pPr>
        <w:spacing w:before="60" w:after="120" w:line="360" w:lineRule="auto"/>
      </w:pPr>
      <w:r>
        <w:rPr>
          <w:rFonts w:ascii="Calibri" w:eastAsia="Calibri" w:hAnsi="Calibri" w:cs="Calibri"/>
          <w:color w:val="1A1A2E"/>
          <w:sz w:val="22"/>
          <w:szCs w:val="22"/>
        </w:rPr>
        <w:t xml:space="preserve">A defining feature of this </w:t>
      </w:r>
      <w:r w:rsidR="004F63F6">
        <w:rPr>
          <w:rFonts w:ascii="Calibri" w:eastAsia="Calibri" w:hAnsi="Calibri" w:cs="Calibri"/>
          <w:color w:val="1A1A2E"/>
          <w:sz w:val="22"/>
          <w:szCs w:val="22"/>
        </w:rPr>
        <w:t>offer</w:t>
      </w:r>
      <w:r>
        <w:rPr>
          <w:rFonts w:ascii="Calibri" w:eastAsia="Calibri" w:hAnsi="Calibri" w:cs="Calibri"/>
          <w:color w:val="1A1A2E"/>
          <w:sz w:val="22"/>
          <w:szCs w:val="22"/>
        </w:rPr>
        <w:t xml:space="preserve"> is the </w:t>
      </w:r>
      <w:r>
        <w:rPr>
          <w:rFonts w:ascii="Calibri" w:eastAsia="Calibri" w:hAnsi="Calibri" w:cs="Calibri"/>
          <w:b/>
          <w:bCs/>
          <w:color w:val="1A1A2E"/>
          <w:sz w:val="22"/>
          <w:szCs w:val="22"/>
        </w:rPr>
        <w:t>Experiential Campus</w:t>
      </w:r>
      <w:r>
        <w:rPr>
          <w:rFonts w:ascii="Calibri" w:eastAsia="Calibri" w:hAnsi="Calibri" w:cs="Calibri"/>
          <w:color w:val="1A1A2E"/>
          <w:sz w:val="22"/>
          <w:szCs w:val="22"/>
        </w:rPr>
        <w:t xml:space="preserve"> formed by two adjacent properties — </w:t>
      </w:r>
      <w:r>
        <w:rPr>
          <w:rFonts w:ascii="Calibri" w:eastAsia="Calibri" w:hAnsi="Calibri" w:cs="Calibri"/>
          <w:b/>
          <w:bCs/>
          <w:color w:val="1A1A2E"/>
          <w:sz w:val="22"/>
          <w:szCs w:val="22"/>
        </w:rPr>
        <w:t>100 E. 4th Avenue</w:t>
      </w:r>
      <w:r>
        <w:rPr>
          <w:rFonts w:ascii="Calibri" w:eastAsia="Calibri" w:hAnsi="Calibri" w:cs="Calibri"/>
          <w:color w:val="1A1A2E"/>
          <w:sz w:val="22"/>
          <w:szCs w:val="22"/>
        </w:rPr>
        <w:t xml:space="preserve"> and </w:t>
      </w:r>
      <w:r>
        <w:rPr>
          <w:rFonts w:ascii="Calibri" w:eastAsia="Calibri" w:hAnsi="Calibri" w:cs="Calibri"/>
          <w:b/>
          <w:bCs/>
          <w:color w:val="1A1A2E"/>
          <w:sz w:val="22"/>
          <w:szCs w:val="22"/>
        </w:rPr>
        <w:t>334 N. Donnelly Street</w:t>
      </w:r>
      <w:r>
        <w:rPr>
          <w:rFonts w:ascii="Calibri" w:eastAsia="Calibri" w:hAnsi="Calibri" w:cs="Calibri"/>
          <w:color w:val="1A1A2E"/>
          <w:sz w:val="22"/>
          <w:szCs w:val="22"/>
        </w:rPr>
        <w:t xml:space="preserve"> — which are connected by a </w:t>
      </w:r>
      <w:r>
        <w:rPr>
          <w:rFonts w:ascii="Calibri" w:eastAsia="Calibri" w:hAnsi="Calibri" w:cs="Calibri"/>
          <w:b/>
          <w:bCs/>
          <w:color w:val="1A1A2E"/>
          <w:sz w:val="22"/>
          <w:szCs w:val="22"/>
        </w:rPr>
        <w:t>shared gar</w:t>
      </w:r>
      <w:r w:rsidR="00C565FA">
        <w:rPr>
          <w:rFonts w:ascii="Calibri" w:eastAsia="Calibri" w:hAnsi="Calibri" w:cs="Calibri"/>
          <w:b/>
          <w:bCs/>
          <w:color w:val="1A1A2E"/>
          <w:sz w:val="22"/>
          <w:szCs w:val="22"/>
        </w:rPr>
        <w:t>den, co</w:t>
      </w:r>
      <w:r>
        <w:rPr>
          <w:rFonts w:ascii="Calibri" w:eastAsia="Calibri" w:hAnsi="Calibri" w:cs="Calibri"/>
          <w:b/>
          <w:bCs/>
          <w:color w:val="1A1A2E"/>
          <w:sz w:val="22"/>
          <w:szCs w:val="22"/>
        </w:rPr>
        <w:t>urtyard</w:t>
      </w:r>
      <w:r>
        <w:rPr>
          <w:rFonts w:ascii="Calibri" w:eastAsia="Calibri" w:hAnsi="Calibri" w:cs="Calibri"/>
          <w:color w:val="1A1A2E"/>
          <w:sz w:val="22"/>
          <w:szCs w:val="22"/>
        </w:rPr>
        <w:t xml:space="preserve"> and </w:t>
      </w:r>
      <w:r w:rsidR="00931B19">
        <w:rPr>
          <w:rFonts w:ascii="Calibri" w:eastAsia="Calibri" w:hAnsi="Calibri" w:cs="Calibri"/>
          <w:color w:val="1A1A2E"/>
          <w:sz w:val="22"/>
          <w:szCs w:val="22"/>
        </w:rPr>
        <w:t>14</w:t>
      </w:r>
      <w:r>
        <w:rPr>
          <w:rFonts w:ascii="Calibri" w:eastAsia="Calibri" w:hAnsi="Calibri" w:cs="Calibri"/>
          <w:color w:val="1A1A2E"/>
          <w:sz w:val="22"/>
          <w:szCs w:val="22"/>
        </w:rPr>
        <w:t xml:space="preserve"> parking spaces. This campus operates as a cohesive food, entertainment, and retail destination, aligning directly with the national shift toward experiential retail and placemaking that is driving institutional capital across the commercial real estate landscape.</w:t>
      </w:r>
    </w:p>
    <w:p w14:paraId="27A6919E" w14:textId="77777777" w:rsidR="00745820" w:rsidRDefault="00745820">
      <w:pPr>
        <w:spacing w:before="240"/>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9344"/>
      </w:tblGrid>
      <w:tr w:rsidR="00745820" w14:paraId="0106624C" w14:textId="77777777">
        <w:tc>
          <w:tcPr>
            <w:tcW w:w="0" w:type="auto"/>
            <w:tcBorders>
              <w:top w:val="single" w:sz="6" w:space="0" w:color="B8860B"/>
              <w:left w:val="single" w:sz="6" w:space="0" w:color="B8860B"/>
              <w:bottom w:val="single" w:sz="6" w:space="0" w:color="B8860B"/>
              <w:right w:val="single" w:sz="6" w:space="0" w:color="B8860B"/>
            </w:tcBorders>
            <w:shd w:val="clear" w:color="auto" w:fill="FDF8EE"/>
            <w:tcMar>
              <w:top w:w="180" w:type="dxa"/>
              <w:left w:w="180" w:type="dxa"/>
              <w:bottom w:w="180" w:type="dxa"/>
              <w:right w:w="180" w:type="dxa"/>
            </w:tcMar>
          </w:tcPr>
          <w:p w14:paraId="3C2D2C85" w14:textId="77777777" w:rsidR="00745820" w:rsidRDefault="008D109D">
            <w:pPr>
              <w:spacing w:after="60" w:line="360" w:lineRule="auto"/>
            </w:pPr>
            <w:r>
              <w:rPr>
                <w:rFonts w:ascii="Calibri" w:eastAsia="Calibri" w:hAnsi="Calibri" w:cs="Calibri"/>
                <w:b/>
                <w:bCs/>
                <w:color w:val="B8860B"/>
                <w:sz w:val="22"/>
                <w:szCs w:val="22"/>
              </w:rPr>
              <w:t>◆ Investment Thesis</w:t>
            </w:r>
          </w:p>
          <w:p w14:paraId="2C11C727" w14:textId="77777777" w:rsidR="00745820" w:rsidRDefault="008D109D">
            <w:pPr>
              <w:spacing w:after="100" w:line="408" w:lineRule="auto"/>
              <w:ind w:left="240"/>
            </w:pPr>
            <w:r>
              <w:t xml:space="preserve">•  </w:t>
            </w:r>
            <w:r>
              <w:rPr>
                <w:rFonts w:ascii="Calibri" w:eastAsia="Calibri" w:hAnsi="Calibri" w:cs="Calibri"/>
                <w:b/>
                <w:bCs/>
                <w:color w:val="1A1A2E"/>
                <w:sz w:val="22"/>
                <w:szCs w:val="22"/>
              </w:rPr>
              <w:t>Diversified Tenant Mix</w:t>
            </w:r>
            <w:r>
              <w:rPr>
                <w:rFonts w:ascii="Calibri" w:eastAsia="Calibri" w:hAnsi="Calibri" w:cs="Calibri"/>
                <w:color w:val="1A1A2E"/>
                <w:sz w:val="22"/>
                <w:szCs w:val="22"/>
              </w:rPr>
              <w:t xml:space="preserve"> — Food &amp; beverage, specialty retail, and professional office</w:t>
            </w:r>
          </w:p>
          <w:p w14:paraId="4111FF08" w14:textId="77777777" w:rsidR="00745820" w:rsidRDefault="008D109D">
            <w:pPr>
              <w:spacing w:after="100" w:line="408" w:lineRule="auto"/>
              <w:ind w:left="240"/>
            </w:pPr>
            <w:r>
              <w:t xml:space="preserve">•  </w:t>
            </w:r>
            <w:r>
              <w:rPr>
                <w:rFonts w:ascii="Calibri" w:eastAsia="Calibri" w:hAnsi="Calibri" w:cs="Calibri"/>
                <w:b/>
                <w:bCs/>
                <w:color w:val="1A1A2E"/>
                <w:sz w:val="22"/>
                <w:szCs w:val="22"/>
              </w:rPr>
              <w:t>Experiential Campus Model</w:t>
            </w:r>
            <w:r>
              <w:rPr>
                <w:rFonts w:ascii="Calibri" w:eastAsia="Calibri" w:hAnsi="Calibri" w:cs="Calibri"/>
                <w:color w:val="1A1A2E"/>
                <w:sz w:val="22"/>
                <w:szCs w:val="22"/>
              </w:rPr>
              <w:t xml:space="preserve"> — Aligned with institutional REIT trends toward placemaking</w:t>
            </w:r>
          </w:p>
          <w:p w14:paraId="6A71A3E8" w14:textId="77777777" w:rsidR="00745820" w:rsidRDefault="008D109D">
            <w:pPr>
              <w:spacing w:after="100" w:line="408" w:lineRule="auto"/>
              <w:ind w:left="240"/>
            </w:pPr>
            <w:r>
              <w:t xml:space="preserve">•  </w:t>
            </w:r>
            <w:r>
              <w:rPr>
                <w:rFonts w:ascii="Calibri" w:eastAsia="Calibri" w:hAnsi="Calibri" w:cs="Calibri"/>
                <w:b/>
                <w:bCs/>
                <w:color w:val="1A1A2E"/>
                <w:sz w:val="22"/>
                <w:szCs w:val="22"/>
              </w:rPr>
              <w:t>Tourism-Driven Foot Traffic</w:t>
            </w:r>
            <w:r>
              <w:rPr>
                <w:rFonts w:ascii="Calibri" w:eastAsia="Calibri" w:hAnsi="Calibri" w:cs="Calibri"/>
                <w:color w:val="1A1A2E"/>
                <w:sz w:val="22"/>
                <w:szCs w:val="22"/>
              </w:rPr>
              <w:t xml:space="preserve"> — Mount Dora hosts 30+ annual festivals and events</w:t>
            </w:r>
          </w:p>
          <w:p w14:paraId="24A9D87E" w14:textId="77777777" w:rsidR="00745820" w:rsidRDefault="008D109D">
            <w:pPr>
              <w:spacing w:after="100" w:line="408" w:lineRule="auto"/>
              <w:ind w:left="240"/>
            </w:pPr>
            <w:r>
              <w:t xml:space="preserve">•  </w:t>
            </w:r>
            <w:r>
              <w:rPr>
                <w:rFonts w:ascii="Calibri" w:eastAsia="Calibri" w:hAnsi="Calibri" w:cs="Calibri"/>
                <w:b/>
                <w:bCs/>
                <w:color w:val="1A1A2E"/>
                <w:sz w:val="22"/>
                <w:szCs w:val="22"/>
              </w:rPr>
              <w:t>Walkable Downtown Location</w:t>
            </w:r>
            <w:r>
              <w:rPr>
                <w:rFonts w:ascii="Calibri" w:eastAsia="Calibri" w:hAnsi="Calibri" w:cs="Calibri"/>
                <w:color w:val="1A1A2E"/>
                <w:sz w:val="22"/>
                <w:szCs w:val="22"/>
              </w:rPr>
              <w:t xml:space="preserve"> — All four properties within the commercial core</w:t>
            </w:r>
          </w:p>
          <w:p w14:paraId="22E3321E" w14:textId="77777777" w:rsidR="00745820" w:rsidRDefault="008D109D">
            <w:pPr>
              <w:spacing w:after="100" w:line="408" w:lineRule="auto"/>
              <w:ind w:left="240"/>
            </w:pPr>
            <w:r>
              <w:t xml:space="preserve">•  </w:t>
            </w:r>
            <w:r>
              <w:rPr>
                <w:rFonts w:ascii="Calibri" w:eastAsia="Calibri" w:hAnsi="Calibri" w:cs="Calibri"/>
                <w:b/>
                <w:bCs/>
                <w:color w:val="1A1A2E"/>
                <w:sz w:val="22"/>
                <w:szCs w:val="22"/>
              </w:rPr>
              <w:t>Strong Demographic Tailwinds</w:t>
            </w:r>
            <w:r>
              <w:rPr>
                <w:rFonts w:ascii="Calibri" w:eastAsia="Calibri" w:hAnsi="Calibri" w:cs="Calibri"/>
                <w:color w:val="1A1A2E"/>
                <w:sz w:val="22"/>
                <w:szCs w:val="22"/>
              </w:rPr>
              <w:t xml:space="preserve"> — Lake County population growing at 18.8% since 2020</w:t>
            </w:r>
          </w:p>
        </w:tc>
      </w:tr>
    </w:tbl>
    <w:p w14:paraId="6CF5B654" w14:textId="77777777" w:rsidR="00745820" w:rsidRDefault="00745820">
      <w:pPr>
        <w:spacing w:after="240"/>
      </w:pPr>
    </w:p>
    <w:p w14:paraId="2960A19D" w14:textId="77777777" w:rsidR="00745820" w:rsidRDefault="00745820">
      <w:pPr>
        <w:pBdr>
          <w:bottom w:val="single" w:sz="6" w:space="0" w:color="B8860B"/>
        </w:pBdr>
        <w:spacing w:before="240" w:after="240"/>
      </w:pPr>
    </w:p>
    <w:p w14:paraId="7B24D508" w14:textId="77777777" w:rsidR="00745820" w:rsidRDefault="008D109D">
      <w:pPr>
        <w:pStyle w:val="Heading1"/>
        <w:spacing w:before="480" w:after="120" w:line="312" w:lineRule="auto"/>
      </w:pPr>
      <w:r>
        <w:rPr>
          <w:rFonts w:ascii="Calibri" w:eastAsia="Calibri" w:hAnsi="Calibri" w:cs="Calibri"/>
          <w:color w:val="0A1628"/>
        </w:rPr>
        <w:t>II. Portfolio Overview</w:t>
      </w:r>
    </w:p>
    <w:p w14:paraId="4F0D7B4F" w14:textId="77777777" w:rsidR="00745820" w:rsidRDefault="008D109D">
      <w:pPr>
        <w:spacing w:before="60" w:after="120" w:line="360" w:lineRule="auto"/>
      </w:pPr>
      <w:r>
        <w:rPr>
          <w:rFonts w:ascii="Calibri" w:eastAsia="Calibri" w:hAnsi="Calibri" w:cs="Calibri"/>
          <w:color w:val="1A1A2E"/>
          <w:sz w:val="22"/>
          <w:szCs w:val="22"/>
        </w:rPr>
        <w:t>The Mount Dora Downtown Portfolio comprises four commercial properties concentrated within the walkable downtown core, offering a complementary blend of food &amp; beverage, specialty retail, and professional office uses.</w:t>
      </w:r>
    </w:p>
    <w:p w14:paraId="534052A6" w14:textId="77777777" w:rsidR="00745820" w:rsidRDefault="00745820">
      <w:pPr>
        <w:spacing w:before="200"/>
      </w:pPr>
    </w:p>
    <w:tbl>
      <w:tblPr>
        <w:tblW w:w="5000" w:type="pct"/>
        <w:tblBorders>
          <w:top w:val="single" w:sz="4" w:space="0" w:color="E5E7EB"/>
          <w:left w:val="single" w:sz="4" w:space="0" w:color="E5E7EB"/>
          <w:bottom w:val="single" w:sz="4" w:space="0" w:color="E5E7EB"/>
          <w:right w:val="single" w:sz="4" w:space="0" w:color="E5E7EB"/>
          <w:insideH w:val="single" w:sz="4" w:space="0" w:color="E5E7EB"/>
          <w:insideV w:val="single" w:sz="4" w:space="0" w:color="E5E7EB"/>
        </w:tblBorders>
        <w:tblCellMar>
          <w:left w:w="10" w:type="dxa"/>
          <w:right w:w="10" w:type="dxa"/>
        </w:tblCellMar>
        <w:tblLook w:val="04A0" w:firstRow="1" w:lastRow="0" w:firstColumn="1" w:lastColumn="0" w:noHBand="0" w:noVBand="1"/>
      </w:tblPr>
      <w:tblGrid>
        <w:gridCol w:w="2524"/>
        <w:gridCol w:w="1215"/>
        <w:gridCol w:w="4582"/>
        <w:gridCol w:w="1029"/>
      </w:tblGrid>
      <w:tr w:rsidR="00745820" w14:paraId="0B34CBDC" w14:textId="77777777">
        <w:trPr>
          <w:tblHeader/>
        </w:trPr>
        <w:tc>
          <w:tcPr>
            <w:tcW w:w="1350" w:type="pct"/>
            <w:shd w:val="clear" w:color="auto" w:fill="0A1628"/>
            <w:tcMar>
              <w:top w:w="90" w:type="dxa"/>
              <w:left w:w="120" w:type="dxa"/>
              <w:bottom w:w="90" w:type="dxa"/>
              <w:right w:w="120" w:type="dxa"/>
            </w:tcMar>
          </w:tcPr>
          <w:p w14:paraId="65AF990C" w14:textId="77777777" w:rsidR="00745820" w:rsidRDefault="008D109D">
            <w:r>
              <w:rPr>
                <w:rFonts w:ascii="Calibri" w:eastAsia="Calibri" w:hAnsi="Calibri" w:cs="Calibri"/>
                <w:b/>
                <w:bCs/>
                <w:color w:val="FFFFFF"/>
                <w:spacing w:val="8"/>
                <w:sz w:val="20"/>
                <w:szCs w:val="20"/>
              </w:rPr>
              <w:t>Property Address</w:t>
            </w:r>
          </w:p>
        </w:tc>
        <w:tc>
          <w:tcPr>
            <w:tcW w:w="650" w:type="pct"/>
            <w:shd w:val="clear" w:color="auto" w:fill="0A1628"/>
            <w:tcMar>
              <w:top w:w="90" w:type="dxa"/>
              <w:left w:w="120" w:type="dxa"/>
              <w:bottom w:w="90" w:type="dxa"/>
              <w:right w:w="120" w:type="dxa"/>
            </w:tcMar>
          </w:tcPr>
          <w:p w14:paraId="1C8F4D09" w14:textId="77777777" w:rsidR="00745820" w:rsidRDefault="008D109D">
            <w:r>
              <w:rPr>
                <w:rFonts w:ascii="Calibri" w:eastAsia="Calibri" w:hAnsi="Calibri" w:cs="Calibri"/>
                <w:b/>
                <w:bCs/>
                <w:color w:val="FFFFFF"/>
                <w:spacing w:val="8"/>
                <w:sz w:val="20"/>
                <w:szCs w:val="20"/>
              </w:rPr>
              <w:t>Square Feet</w:t>
            </w:r>
          </w:p>
        </w:tc>
        <w:tc>
          <w:tcPr>
            <w:tcW w:w="2450" w:type="pct"/>
            <w:shd w:val="clear" w:color="auto" w:fill="0A1628"/>
            <w:tcMar>
              <w:top w:w="90" w:type="dxa"/>
              <w:left w:w="120" w:type="dxa"/>
              <w:bottom w:w="90" w:type="dxa"/>
              <w:right w:w="120" w:type="dxa"/>
            </w:tcMar>
          </w:tcPr>
          <w:p w14:paraId="408B066B" w14:textId="77777777" w:rsidR="00745820" w:rsidRDefault="008D109D">
            <w:r>
              <w:rPr>
                <w:rFonts w:ascii="Calibri" w:eastAsia="Calibri" w:hAnsi="Calibri" w:cs="Calibri"/>
                <w:b/>
                <w:bCs/>
                <w:color w:val="FFFFFF"/>
                <w:spacing w:val="8"/>
                <w:sz w:val="20"/>
                <w:szCs w:val="20"/>
              </w:rPr>
              <w:t>Current Use / Tenants</w:t>
            </w:r>
          </w:p>
        </w:tc>
        <w:tc>
          <w:tcPr>
            <w:tcW w:w="550" w:type="pct"/>
            <w:shd w:val="clear" w:color="auto" w:fill="0A1628"/>
            <w:tcMar>
              <w:top w:w="90" w:type="dxa"/>
              <w:left w:w="120" w:type="dxa"/>
              <w:bottom w:w="90" w:type="dxa"/>
              <w:right w:w="120" w:type="dxa"/>
            </w:tcMar>
          </w:tcPr>
          <w:p w14:paraId="308220E5" w14:textId="77777777" w:rsidR="00745820" w:rsidRDefault="008D109D">
            <w:r>
              <w:rPr>
                <w:rFonts w:ascii="Calibri" w:eastAsia="Calibri" w:hAnsi="Calibri" w:cs="Calibri"/>
                <w:b/>
                <w:bCs/>
                <w:color w:val="FFFFFF"/>
                <w:spacing w:val="8"/>
                <w:sz w:val="20"/>
                <w:szCs w:val="20"/>
              </w:rPr>
              <w:t>Parking</w:t>
            </w:r>
          </w:p>
        </w:tc>
      </w:tr>
      <w:tr w:rsidR="00745820" w14:paraId="262D8B41" w14:textId="77777777">
        <w:tc>
          <w:tcPr>
            <w:tcW w:w="1350" w:type="pct"/>
            <w:tcMar>
              <w:top w:w="90" w:type="dxa"/>
              <w:left w:w="120" w:type="dxa"/>
              <w:bottom w:w="90" w:type="dxa"/>
              <w:right w:w="120" w:type="dxa"/>
            </w:tcMar>
          </w:tcPr>
          <w:p w14:paraId="037D6229" w14:textId="77777777" w:rsidR="00745820" w:rsidRDefault="008D109D">
            <w:r>
              <w:rPr>
                <w:rFonts w:ascii="Calibri" w:eastAsia="Calibri" w:hAnsi="Calibri" w:cs="Calibri"/>
                <w:b/>
                <w:bCs/>
                <w:color w:val="1A1A2E"/>
                <w:sz w:val="22"/>
                <w:szCs w:val="22"/>
              </w:rPr>
              <w:t>100 E. 4th Avenue</w:t>
            </w:r>
          </w:p>
        </w:tc>
        <w:tc>
          <w:tcPr>
            <w:tcW w:w="650" w:type="pct"/>
            <w:tcMar>
              <w:top w:w="90" w:type="dxa"/>
              <w:left w:w="120" w:type="dxa"/>
              <w:bottom w:w="90" w:type="dxa"/>
              <w:right w:w="120" w:type="dxa"/>
            </w:tcMar>
          </w:tcPr>
          <w:p w14:paraId="7C2B6AF3" w14:textId="77777777" w:rsidR="00745820" w:rsidRDefault="008D109D">
            <w:r>
              <w:rPr>
                <w:rFonts w:ascii="Calibri" w:eastAsia="Calibri" w:hAnsi="Calibri" w:cs="Calibri"/>
                <w:color w:val="1A1A2E"/>
                <w:sz w:val="20"/>
                <w:szCs w:val="20"/>
              </w:rPr>
              <w:t>4,368</w:t>
            </w:r>
          </w:p>
        </w:tc>
        <w:tc>
          <w:tcPr>
            <w:tcW w:w="2450" w:type="pct"/>
            <w:tcMar>
              <w:top w:w="90" w:type="dxa"/>
              <w:left w:w="120" w:type="dxa"/>
              <w:bottom w:w="90" w:type="dxa"/>
              <w:right w:w="120" w:type="dxa"/>
            </w:tcMar>
          </w:tcPr>
          <w:p w14:paraId="28B2E4FD" w14:textId="77777777" w:rsidR="00745820" w:rsidRDefault="008D109D">
            <w:r>
              <w:rPr>
                <w:rFonts w:ascii="Calibri" w:eastAsia="Calibri" w:hAnsi="Calibri" w:cs="Calibri"/>
                <w:color w:val="1A1A2E"/>
                <w:sz w:val="20"/>
                <w:szCs w:val="20"/>
              </w:rPr>
              <w:t>Food Hall, Craft Brewery, Cocktail Bar</w:t>
            </w:r>
          </w:p>
        </w:tc>
        <w:tc>
          <w:tcPr>
            <w:tcW w:w="550" w:type="pct"/>
            <w:tcMar>
              <w:top w:w="90" w:type="dxa"/>
              <w:left w:w="120" w:type="dxa"/>
              <w:bottom w:w="90" w:type="dxa"/>
              <w:right w:w="120" w:type="dxa"/>
            </w:tcMar>
          </w:tcPr>
          <w:p w14:paraId="7207895C" w14:textId="5ECA7BB4" w:rsidR="00745820" w:rsidRDefault="00931B19">
            <w:r>
              <w:rPr>
                <w:rFonts w:ascii="Calibri" w:eastAsia="Calibri" w:hAnsi="Calibri" w:cs="Calibri"/>
                <w:color w:val="1A1A2E"/>
                <w:sz w:val="20"/>
                <w:szCs w:val="20"/>
              </w:rPr>
              <w:t>14</w:t>
            </w:r>
            <w:r w:rsidR="008D109D">
              <w:rPr>
                <w:rFonts w:ascii="Calibri" w:eastAsia="Calibri" w:hAnsi="Calibri" w:cs="Calibri"/>
                <w:color w:val="1A1A2E"/>
                <w:sz w:val="20"/>
                <w:szCs w:val="20"/>
              </w:rPr>
              <w:t>*</w:t>
            </w:r>
          </w:p>
        </w:tc>
      </w:tr>
      <w:tr w:rsidR="00745820" w14:paraId="0E4E6B15" w14:textId="77777777">
        <w:tc>
          <w:tcPr>
            <w:tcW w:w="1350" w:type="pct"/>
            <w:tcMar>
              <w:top w:w="90" w:type="dxa"/>
              <w:left w:w="120" w:type="dxa"/>
              <w:bottom w:w="90" w:type="dxa"/>
              <w:right w:w="120" w:type="dxa"/>
            </w:tcMar>
          </w:tcPr>
          <w:p w14:paraId="3C4407C4" w14:textId="77777777" w:rsidR="00745820" w:rsidRDefault="008D109D">
            <w:r>
              <w:rPr>
                <w:rFonts w:ascii="Calibri" w:eastAsia="Calibri" w:hAnsi="Calibri" w:cs="Calibri"/>
                <w:b/>
                <w:bCs/>
                <w:color w:val="1A1A2E"/>
                <w:sz w:val="22"/>
                <w:szCs w:val="22"/>
              </w:rPr>
              <w:t>334 N. Donnelly Street</w:t>
            </w:r>
          </w:p>
        </w:tc>
        <w:tc>
          <w:tcPr>
            <w:tcW w:w="650" w:type="pct"/>
            <w:tcMar>
              <w:top w:w="90" w:type="dxa"/>
              <w:left w:w="120" w:type="dxa"/>
              <w:bottom w:w="90" w:type="dxa"/>
              <w:right w:w="120" w:type="dxa"/>
            </w:tcMar>
          </w:tcPr>
          <w:p w14:paraId="18EACB2A" w14:textId="77777777" w:rsidR="00745820" w:rsidRDefault="008D109D">
            <w:r>
              <w:rPr>
                <w:rFonts w:ascii="Calibri" w:eastAsia="Calibri" w:hAnsi="Calibri" w:cs="Calibri"/>
                <w:color w:val="1A1A2E"/>
                <w:sz w:val="20"/>
                <w:szCs w:val="20"/>
              </w:rPr>
              <w:t>5,389</w:t>
            </w:r>
          </w:p>
        </w:tc>
        <w:tc>
          <w:tcPr>
            <w:tcW w:w="2450" w:type="pct"/>
            <w:tcMar>
              <w:top w:w="90" w:type="dxa"/>
              <w:left w:w="120" w:type="dxa"/>
              <w:bottom w:w="90" w:type="dxa"/>
              <w:right w:w="120" w:type="dxa"/>
            </w:tcMar>
          </w:tcPr>
          <w:p w14:paraId="0280BF63" w14:textId="77777777" w:rsidR="00745820" w:rsidRDefault="008D109D">
            <w:r>
              <w:rPr>
                <w:rFonts w:ascii="Calibri" w:eastAsia="Calibri" w:hAnsi="Calibri" w:cs="Calibri"/>
                <w:color w:val="1A1A2E"/>
                <w:sz w:val="20"/>
                <w:szCs w:val="20"/>
              </w:rPr>
              <w:t>Mixed Food &amp; Retail Marketplace</w:t>
            </w:r>
          </w:p>
        </w:tc>
        <w:tc>
          <w:tcPr>
            <w:tcW w:w="550" w:type="pct"/>
            <w:tcMar>
              <w:top w:w="90" w:type="dxa"/>
              <w:left w:w="120" w:type="dxa"/>
              <w:bottom w:w="90" w:type="dxa"/>
              <w:right w:w="120" w:type="dxa"/>
            </w:tcMar>
          </w:tcPr>
          <w:p w14:paraId="203AE420" w14:textId="7BB0756C" w:rsidR="00745820" w:rsidRDefault="00931B19">
            <w:r>
              <w:rPr>
                <w:rFonts w:ascii="Calibri" w:eastAsia="Calibri" w:hAnsi="Calibri" w:cs="Calibri"/>
                <w:color w:val="1A1A2E"/>
                <w:sz w:val="20"/>
                <w:szCs w:val="20"/>
              </w:rPr>
              <w:t>14</w:t>
            </w:r>
            <w:r w:rsidR="008D109D">
              <w:rPr>
                <w:rFonts w:ascii="Calibri" w:eastAsia="Calibri" w:hAnsi="Calibri" w:cs="Calibri"/>
                <w:color w:val="1A1A2E"/>
                <w:sz w:val="20"/>
                <w:szCs w:val="20"/>
              </w:rPr>
              <w:t>*</w:t>
            </w:r>
          </w:p>
        </w:tc>
      </w:tr>
      <w:tr w:rsidR="00745820" w14:paraId="2947E46B" w14:textId="77777777">
        <w:tc>
          <w:tcPr>
            <w:tcW w:w="1350" w:type="pct"/>
            <w:tcMar>
              <w:top w:w="90" w:type="dxa"/>
              <w:left w:w="120" w:type="dxa"/>
              <w:bottom w:w="90" w:type="dxa"/>
              <w:right w:w="120" w:type="dxa"/>
            </w:tcMar>
          </w:tcPr>
          <w:p w14:paraId="716ECBBC" w14:textId="77777777" w:rsidR="00745820" w:rsidRDefault="008D109D">
            <w:r>
              <w:rPr>
                <w:rFonts w:ascii="Calibri" w:eastAsia="Calibri" w:hAnsi="Calibri" w:cs="Calibri"/>
                <w:b/>
                <w:bCs/>
                <w:color w:val="1A1A2E"/>
                <w:sz w:val="22"/>
                <w:szCs w:val="22"/>
              </w:rPr>
              <w:t>351 N. Donnelly Street</w:t>
            </w:r>
          </w:p>
        </w:tc>
        <w:tc>
          <w:tcPr>
            <w:tcW w:w="650" w:type="pct"/>
            <w:tcMar>
              <w:top w:w="90" w:type="dxa"/>
              <w:left w:w="120" w:type="dxa"/>
              <w:bottom w:w="90" w:type="dxa"/>
              <w:right w:w="120" w:type="dxa"/>
            </w:tcMar>
          </w:tcPr>
          <w:p w14:paraId="428AD399" w14:textId="77777777" w:rsidR="00745820" w:rsidRDefault="008D109D">
            <w:r>
              <w:rPr>
                <w:rFonts w:ascii="Calibri" w:eastAsia="Calibri" w:hAnsi="Calibri" w:cs="Calibri"/>
                <w:color w:val="1A1A2E"/>
                <w:sz w:val="20"/>
                <w:szCs w:val="20"/>
              </w:rPr>
              <w:t>4,500</w:t>
            </w:r>
          </w:p>
        </w:tc>
        <w:tc>
          <w:tcPr>
            <w:tcW w:w="2450" w:type="pct"/>
            <w:tcMar>
              <w:top w:w="90" w:type="dxa"/>
              <w:left w:w="120" w:type="dxa"/>
              <w:bottom w:w="90" w:type="dxa"/>
              <w:right w:w="120" w:type="dxa"/>
            </w:tcMar>
          </w:tcPr>
          <w:p w14:paraId="62E4686D" w14:textId="77777777" w:rsidR="00745820" w:rsidRDefault="008D109D">
            <w:r>
              <w:rPr>
                <w:rFonts w:ascii="Calibri" w:eastAsia="Calibri" w:hAnsi="Calibri" w:cs="Calibri"/>
                <w:color w:val="1A1A2E"/>
                <w:sz w:val="20"/>
                <w:szCs w:val="20"/>
              </w:rPr>
              <w:t>Cuban Restaurant, Olive Oil Shop, Jewelry Store</w:t>
            </w:r>
          </w:p>
        </w:tc>
        <w:tc>
          <w:tcPr>
            <w:tcW w:w="550" w:type="pct"/>
            <w:tcMar>
              <w:top w:w="90" w:type="dxa"/>
              <w:left w:w="120" w:type="dxa"/>
              <w:bottom w:w="90" w:type="dxa"/>
              <w:right w:w="120" w:type="dxa"/>
            </w:tcMar>
          </w:tcPr>
          <w:p w14:paraId="6F870140" w14:textId="77777777" w:rsidR="00745820" w:rsidRDefault="008D109D">
            <w:r>
              <w:rPr>
                <w:rFonts w:ascii="Calibri" w:eastAsia="Calibri" w:hAnsi="Calibri" w:cs="Calibri"/>
                <w:color w:val="1A1A2E"/>
                <w:sz w:val="20"/>
                <w:szCs w:val="20"/>
              </w:rPr>
              <w:t>—</w:t>
            </w:r>
          </w:p>
        </w:tc>
      </w:tr>
      <w:tr w:rsidR="00745820" w14:paraId="087B5DF1" w14:textId="77777777">
        <w:tc>
          <w:tcPr>
            <w:tcW w:w="1350" w:type="pct"/>
            <w:tcMar>
              <w:top w:w="90" w:type="dxa"/>
              <w:left w:w="120" w:type="dxa"/>
              <w:bottom w:w="90" w:type="dxa"/>
              <w:right w:w="120" w:type="dxa"/>
            </w:tcMar>
          </w:tcPr>
          <w:p w14:paraId="4612B390" w14:textId="77777777" w:rsidR="00745820" w:rsidRDefault="008D109D">
            <w:r>
              <w:rPr>
                <w:rFonts w:ascii="Calibri" w:eastAsia="Calibri" w:hAnsi="Calibri" w:cs="Calibri"/>
                <w:b/>
                <w:bCs/>
                <w:color w:val="1A1A2E"/>
                <w:sz w:val="22"/>
                <w:szCs w:val="22"/>
              </w:rPr>
              <w:t>851 N. Donnelly Street</w:t>
            </w:r>
          </w:p>
        </w:tc>
        <w:tc>
          <w:tcPr>
            <w:tcW w:w="650" w:type="pct"/>
            <w:tcMar>
              <w:top w:w="90" w:type="dxa"/>
              <w:left w:w="120" w:type="dxa"/>
              <w:bottom w:w="90" w:type="dxa"/>
              <w:right w:w="120" w:type="dxa"/>
            </w:tcMar>
          </w:tcPr>
          <w:p w14:paraId="567F7B38" w14:textId="77777777" w:rsidR="00745820" w:rsidRDefault="008D109D">
            <w:r>
              <w:rPr>
                <w:rFonts w:ascii="Calibri" w:eastAsia="Calibri" w:hAnsi="Calibri" w:cs="Calibri"/>
                <w:color w:val="1A1A2E"/>
                <w:sz w:val="20"/>
                <w:szCs w:val="20"/>
              </w:rPr>
              <w:t>3,560</w:t>
            </w:r>
          </w:p>
        </w:tc>
        <w:tc>
          <w:tcPr>
            <w:tcW w:w="2450" w:type="pct"/>
            <w:tcMar>
              <w:top w:w="90" w:type="dxa"/>
              <w:left w:w="120" w:type="dxa"/>
              <w:bottom w:w="90" w:type="dxa"/>
              <w:right w:w="120" w:type="dxa"/>
            </w:tcMar>
          </w:tcPr>
          <w:p w14:paraId="73A7005D" w14:textId="77777777" w:rsidR="00745820" w:rsidRDefault="008D109D">
            <w:r>
              <w:rPr>
                <w:rFonts w:ascii="Calibri" w:eastAsia="Calibri" w:hAnsi="Calibri" w:cs="Calibri"/>
                <w:color w:val="1A1A2E"/>
                <w:sz w:val="20"/>
                <w:szCs w:val="20"/>
              </w:rPr>
              <w:t>Professional Office Building</w:t>
            </w:r>
          </w:p>
        </w:tc>
        <w:tc>
          <w:tcPr>
            <w:tcW w:w="550" w:type="pct"/>
            <w:tcMar>
              <w:top w:w="90" w:type="dxa"/>
              <w:left w:w="120" w:type="dxa"/>
              <w:bottom w:w="90" w:type="dxa"/>
              <w:right w:w="120" w:type="dxa"/>
            </w:tcMar>
          </w:tcPr>
          <w:p w14:paraId="68C5D4A3" w14:textId="77777777" w:rsidR="00745820" w:rsidRDefault="008D109D">
            <w:r>
              <w:rPr>
                <w:rFonts w:ascii="Calibri" w:eastAsia="Calibri" w:hAnsi="Calibri" w:cs="Calibri"/>
                <w:color w:val="1A1A2E"/>
                <w:sz w:val="20"/>
                <w:szCs w:val="20"/>
              </w:rPr>
              <w:t>17</w:t>
            </w:r>
          </w:p>
        </w:tc>
      </w:tr>
      <w:tr w:rsidR="00745820" w14:paraId="0712FF48" w14:textId="77777777">
        <w:tc>
          <w:tcPr>
            <w:tcW w:w="1350" w:type="pct"/>
            <w:tcMar>
              <w:top w:w="90" w:type="dxa"/>
              <w:left w:w="120" w:type="dxa"/>
              <w:bottom w:w="90" w:type="dxa"/>
              <w:right w:w="120" w:type="dxa"/>
            </w:tcMar>
          </w:tcPr>
          <w:p w14:paraId="7FCF892A" w14:textId="77777777" w:rsidR="00745820" w:rsidRDefault="008D109D">
            <w:r>
              <w:rPr>
                <w:rFonts w:ascii="Calibri" w:eastAsia="Calibri" w:hAnsi="Calibri" w:cs="Calibri"/>
                <w:b/>
                <w:bCs/>
                <w:color w:val="1A1A2E"/>
                <w:sz w:val="22"/>
                <w:szCs w:val="22"/>
              </w:rPr>
              <w:t>TOTAL PORTFOLIO</w:t>
            </w:r>
          </w:p>
        </w:tc>
        <w:tc>
          <w:tcPr>
            <w:tcW w:w="650" w:type="pct"/>
            <w:tcMar>
              <w:top w:w="90" w:type="dxa"/>
              <w:left w:w="120" w:type="dxa"/>
              <w:bottom w:w="90" w:type="dxa"/>
              <w:right w:w="120" w:type="dxa"/>
            </w:tcMar>
          </w:tcPr>
          <w:p w14:paraId="57CE0D50" w14:textId="77777777" w:rsidR="00745820" w:rsidRDefault="008D109D">
            <w:r>
              <w:rPr>
                <w:rFonts w:ascii="Calibri" w:eastAsia="Calibri" w:hAnsi="Calibri" w:cs="Calibri"/>
                <w:b/>
                <w:bCs/>
                <w:color w:val="1A1A2E"/>
                <w:sz w:val="22"/>
                <w:szCs w:val="22"/>
              </w:rPr>
              <w:t>17,817</w:t>
            </w:r>
          </w:p>
        </w:tc>
        <w:tc>
          <w:tcPr>
            <w:tcW w:w="2450" w:type="pct"/>
            <w:tcMar>
              <w:top w:w="90" w:type="dxa"/>
              <w:left w:w="120" w:type="dxa"/>
              <w:bottom w:w="90" w:type="dxa"/>
              <w:right w:w="120" w:type="dxa"/>
            </w:tcMar>
          </w:tcPr>
          <w:p w14:paraId="16E1960C" w14:textId="77777777" w:rsidR="00745820" w:rsidRDefault="008D109D">
            <w:r>
              <w:rPr>
                <w:rFonts w:ascii="Calibri" w:eastAsia="Calibri" w:hAnsi="Calibri" w:cs="Calibri"/>
                <w:b/>
                <w:bCs/>
                <w:color w:val="1A1A2E"/>
                <w:sz w:val="22"/>
                <w:szCs w:val="22"/>
              </w:rPr>
              <w:t>Diversified Commercial</w:t>
            </w:r>
          </w:p>
        </w:tc>
        <w:tc>
          <w:tcPr>
            <w:tcW w:w="550" w:type="pct"/>
            <w:tcMar>
              <w:top w:w="90" w:type="dxa"/>
              <w:left w:w="120" w:type="dxa"/>
              <w:bottom w:w="90" w:type="dxa"/>
              <w:right w:w="120" w:type="dxa"/>
            </w:tcMar>
          </w:tcPr>
          <w:p w14:paraId="674617FC" w14:textId="77C9D400" w:rsidR="00745820" w:rsidRDefault="008D109D">
            <w:r>
              <w:rPr>
                <w:rFonts w:ascii="Calibri" w:eastAsia="Calibri" w:hAnsi="Calibri" w:cs="Calibri"/>
                <w:b/>
                <w:bCs/>
                <w:color w:val="1A1A2E"/>
                <w:sz w:val="22"/>
                <w:szCs w:val="22"/>
              </w:rPr>
              <w:t>3</w:t>
            </w:r>
            <w:r w:rsidR="00931B19">
              <w:rPr>
                <w:rFonts w:ascii="Calibri" w:eastAsia="Calibri" w:hAnsi="Calibri" w:cs="Calibri"/>
                <w:b/>
                <w:bCs/>
                <w:color w:val="1A1A2E"/>
                <w:sz w:val="22"/>
                <w:szCs w:val="22"/>
              </w:rPr>
              <w:t>1</w:t>
            </w:r>
          </w:p>
        </w:tc>
      </w:tr>
    </w:tbl>
    <w:p w14:paraId="7ED833BC" w14:textId="77777777" w:rsidR="00745820" w:rsidRDefault="00745820">
      <w:pPr>
        <w:spacing w:after="200"/>
      </w:pPr>
    </w:p>
    <w:p w14:paraId="4745B78C" w14:textId="69B40CFB" w:rsidR="00745820" w:rsidRDefault="008D109D">
      <w:pPr>
        <w:spacing w:before="60" w:after="120" w:line="360" w:lineRule="auto"/>
      </w:pPr>
      <w:r>
        <w:rPr>
          <w:rFonts w:ascii="Calibri" w:eastAsia="Calibri" w:hAnsi="Calibri" w:cs="Calibri"/>
          <w:color w:val="666666"/>
          <w:sz w:val="22"/>
          <w:szCs w:val="22"/>
        </w:rPr>
        <w:t xml:space="preserve">* 100 E. 4th Avenue and 334 N. Donnelly Street share </w:t>
      </w:r>
      <w:r w:rsidR="00931B19">
        <w:rPr>
          <w:rFonts w:ascii="Calibri" w:eastAsia="Calibri" w:hAnsi="Calibri" w:cs="Calibri"/>
          <w:color w:val="666666"/>
          <w:sz w:val="22"/>
          <w:szCs w:val="22"/>
        </w:rPr>
        <w:t>14</w:t>
      </w:r>
      <w:r>
        <w:rPr>
          <w:rFonts w:ascii="Calibri" w:eastAsia="Calibri" w:hAnsi="Calibri" w:cs="Calibri"/>
          <w:color w:val="666666"/>
          <w:sz w:val="22"/>
          <w:szCs w:val="22"/>
        </w:rPr>
        <w:t xml:space="preserve"> parking spaces as part of the Experiential Campus.</w:t>
      </w:r>
    </w:p>
    <w:p w14:paraId="70713256" w14:textId="4F41910C" w:rsidR="00745820" w:rsidRDefault="008D109D" w:rsidP="00B44F7B">
      <w:pPr>
        <w:spacing w:before="60" w:after="120" w:line="360" w:lineRule="auto"/>
      </w:pPr>
      <w:r>
        <w:rPr>
          <w:rFonts w:ascii="Calibri" w:eastAsia="Calibri" w:hAnsi="Calibri" w:cs="Calibri"/>
          <w:color w:val="1A1A2E"/>
          <w:sz w:val="22"/>
          <w:szCs w:val="22"/>
        </w:rPr>
        <w:t>All four properties are geographically concentrated within the downtown commercial district of Mount Dora, situated along or adjacent to Donnelly Street — the city’s primary commercial artery. This concentration provides operational efficiencies, portfolio-level management advantages, and a cohesive investment thesis that is difficult to replicate through individual property acquisitions.</w:t>
      </w:r>
    </w:p>
    <w:p w14:paraId="41A511F1" w14:textId="77777777" w:rsidR="00745820" w:rsidRDefault="008D109D">
      <w:pPr>
        <w:spacing w:after="200"/>
        <w:jc w:val="center"/>
      </w:pPr>
      <w:r>
        <w:rPr>
          <w:i/>
          <w:iCs/>
          <w:color w:val="6B7280"/>
          <w:sz w:val="20"/>
          <w:szCs w:val="20"/>
        </w:rPr>
        <w:t>Downtown Mount Dora — A Vibrant, Walkable Commercial District</w:t>
      </w:r>
    </w:p>
    <w:p w14:paraId="74AE1866" w14:textId="77777777" w:rsidR="00745820" w:rsidRDefault="00745820">
      <w:pPr>
        <w:pBdr>
          <w:bottom w:val="single" w:sz="6" w:space="0" w:color="B8860B"/>
        </w:pBdr>
        <w:spacing w:before="240" w:after="240"/>
      </w:pPr>
    </w:p>
    <w:p w14:paraId="55EAF6B1" w14:textId="77777777" w:rsidR="00745820" w:rsidRDefault="008D109D">
      <w:pPr>
        <w:pStyle w:val="Heading1"/>
        <w:spacing w:before="480" w:after="120" w:line="312" w:lineRule="auto"/>
      </w:pPr>
      <w:r>
        <w:rPr>
          <w:rFonts w:ascii="Calibri" w:eastAsia="Calibri" w:hAnsi="Calibri" w:cs="Calibri"/>
          <w:color w:val="0A1628"/>
        </w:rPr>
        <w:t>III. The Experiential Campus Concept</w:t>
      </w:r>
    </w:p>
    <w:p w14:paraId="3206C509" w14:textId="77777777" w:rsidR="00745820" w:rsidRDefault="008D109D">
      <w:pPr>
        <w:spacing w:before="60" w:after="120" w:line="360" w:lineRule="auto"/>
      </w:pPr>
      <w:r>
        <w:rPr>
          <w:rFonts w:ascii="Calibri" w:eastAsia="Calibri" w:hAnsi="Calibri" w:cs="Calibri"/>
          <w:color w:val="1A1A2E"/>
          <w:sz w:val="22"/>
          <w:szCs w:val="22"/>
        </w:rPr>
        <w:t xml:space="preserve">The cornerstone of this portfolio’s differentiated value proposition is the </w:t>
      </w:r>
      <w:r>
        <w:rPr>
          <w:rFonts w:ascii="Calibri" w:eastAsia="Calibri" w:hAnsi="Calibri" w:cs="Calibri"/>
          <w:b/>
          <w:bCs/>
          <w:color w:val="1A1A2E"/>
          <w:sz w:val="22"/>
          <w:szCs w:val="22"/>
        </w:rPr>
        <w:t>Experiential Campus</w:t>
      </w:r>
      <w:r>
        <w:rPr>
          <w:rFonts w:ascii="Calibri" w:eastAsia="Calibri" w:hAnsi="Calibri" w:cs="Calibri"/>
          <w:color w:val="1A1A2E"/>
          <w:sz w:val="22"/>
          <w:szCs w:val="22"/>
        </w:rPr>
        <w:t xml:space="preserve"> — a cohesive food, entertainment, and retail destination formed by two adjacent properties at </w:t>
      </w:r>
      <w:r>
        <w:rPr>
          <w:rFonts w:ascii="Calibri" w:eastAsia="Calibri" w:hAnsi="Calibri" w:cs="Calibri"/>
          <w:b/>
          <w:bCs/>
          <w:color w:val="1A1A2E"/>
          <w:sz w:val="22"/>
          <w:szCs w:val="22"/>
        </w:rPr>
        <w:t>100 E. 4th Avenue</w:t>
      </w:r>
      <w:r>
        <w:rPr>
          <w:rFonts w:ascii="Calibri" w:eastAsia="Calibri" w:hAnsi="Calibri" w:cs="Calibri"/>
          <w:color w:val="1A1A2E"/>
          <w:sz w:val="22"/>
          <w:szCs w:val="22"/>
        </w:rPr>
        <w:t xml:space="preserve"> and </w:t>
      </w:r>
      <w:r>
        <w:rPr>
          <w:rFonts w:ascii="Calibri" w:eastAsia="Calibri" w:hAnsi="Calibri" w:cs="Calibri"/>
          <w:b/>
          <w:bCs/>
          <w:color w:val="1A1A2E"/>
          <w:sz w:val="22"/>
          <w:szCs w:val="22"/>
        </w:rPr>
        <w:t>334 N. Donnelly Street</w:t>
      </w:r>
      <w:r>
        <w:rPr>
          <w:rFonts w:ascii="Calibri" w:eastAsia="Calibri" w:hAnsi="Calibri" w:cs="Calibri"/>
          <w:color w:val="1A1A2E"/>
          <w:sz w:val="22"/>
          <w:szCs w:val="22"/>
        </w:rPr>
        <w:t>.</w:t>
      </w:r>
    </w:p>
    <w:p w14:paraId="48C1B0DA" w14:textId="77777777" w:rsidR="00745820" w:rsidRDefault="00745820">
      <w:pPr>
        <w:spacing w:before="240"/>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9344"/>
      </w:tblGrid>
      <w:tr w:rsidR="00745820" w14:paraId="3B56F3BE" w14:textId="77777777">
        <w:tc>
          <w:tcPr>
            <w:tcW w:w="0" w:type="auto"/>
            <w:tcBorders>
              <w:top w:val="single" w:sz="6" w:space="0" w:color="B8860B"/>
              <w:left w:val="single" w:sz="6" w:space="0" w:color="B8860B"/>
              <w:bottom w:val="single" w:sz="6" w:space="0" w:color="B8860B"/>
              <w:right w:val="single" w:sz="6" w:space="0" w:color="B8860B"/>
            </w:tcBorders>
            <w:shd w:val="clear" w:color="auto" w:fill="FDF8EE"/>
            <w:tcMar>
              <w:top w:w="180" w:type="dxa"/>
              <w:left w:w="180" w:type="dxa"/>
              <w:bottom w:w="180" w:type="dxa"/>
              <w:right w:w="180" w:type="dxa"/>
            </w:tcMar>
          </w:tcPr>
          <w:p w14:paraId="49AA7915" w14:textId="77777777" w:rsidR="00745820" w:rsidRDefault="008D109D">
            <w:pPr>
              <w:spacing w:after="120" w:line="360" w:lineRule="auto"/>
              <w:jc w:val="center"/>
            </w:pPr>
            <w:r>
              <w:rPr>
                <w:rFonts w:ascii="Calibri" w:eastAsia="Calibri" w:hAnsi="Calibri" w:cs="Calibri"/>
                <w:b/>
                <w:bCs/>
                <w:color w:val="0A1628"/>
                <w:sz w:val="22"/>
                <w:szCs w:val="22"/>
              </w:rPr>
              <w:t>◆  The Experiential Campus at a Glance  ◆</w:t>
            </w:r>
          </w:p>
          <w:p w14:paraId="2BF3E4F6" w14:textId="77777777" w:rsidR="00745820" w:rsidRDefault="008D109D">
            <w:pPr>
              <w:spacing w:line="360" w:lineRule="auto"/>
            </w:pPr>
            <w:r>
              <w:rPr>
                <w:rFonts w:ascii="Calibri" w:eastAsia="Calibri" w:hAnsi="Calibri" w:cs="Calibri"/>
                <w:b/>
                <w:bCs/>
                <w:color w:val="B8860B"/>
                <w:sz w:val="22"/>
                <w:szCs w:val="22"/>
              </w:rPr>
              <w:t>9,757</w:t>
            </w:r>
          </w:p>
          <w:p w14:paraId="46A36C09" w14:textId="77777777" w:rsidR="00745820" w:rsidRDefault="008D109D">
            <w:pPr>
              <w:spacing w:after="120" w:line="360" w:lineRule="auto"/>
            </w:pPr>
            <w:r>
              <w:rPr>
                <w:rFonts w:ascii="Calibri" w:eastAsia="Calibri" w:hAnsi="Calibri" w:cs="Calibri"/>
                <w:color w:val="333333"/>
                <w:sz w:val="22"/>
                <w:szCs w:val="22"/>
              </w:rPr>
              <w:t>Combined Square Feet</w:t>
            </w:r>
          </w:p>
          <w:p w14:paraId="067477BB" w14:textId="2700DD82" w:rsidR="00745820" w:rsidRDefault="00507C2A">
            <w:pPr>
              <w:spacing w:line="360" w:lineRule="auto"/>
            </w:pPr>
            <w:r>
              <w:t>14</w:t>
            </w:r>
          </w:p>
          <w:p w14:paraId="3D21E7F9" w14:textId="77777777" w:rsidR="00745820" w:rsidRDefault="008D109D">
            <w:pPr>
              <w:spacing w:after="120" w:line="360" w:lineRule="auto"/>
            </w:pPr>
            <w:r>
              <w:rPr>
                <w:rFonts w:ascii="Calibri" w:eastAsia="Calibri" w:hAnsi="Calibri" w:cs="Calibri"/>
                <w:color w:val="333333"/>
                <w:sz w:val="22"/>
                <w:szCs w:val="22"/>
              </w:rPr>
              <w:t>Shared Parking Spaces</w:t>
            </w:r>
          </w:p>
          <w:p w14:paraId="58CD0749" w14:textId="77777777" w:rsidR="00745820" w:rsidRDefault="008D109D">
            <w:pPr>
              <w:spacing w:line="360" w:lineRule="auto"/>
            </w:pPr>
            <w:r>
              <w:rPr>
                <w:rFonts w:ascii="Calibri" w:eastAsia="Calibri" w:hAnsi="Calibri" w:cs="Calibri"/>
                <w:b/>
                <w:bCs/>
                <w:color w:val="B8860B"/>
                <w:sz w:val="22"/>
                <w:szCs w:val="22"/>
              </w:rPr>
              <w:t>2</w:t>
            </w:r>
          </w:p>
          <w:p w14:paraId="4C9D4E77" w14:textId="77777777" w:rsidR="00745820" w:rsidRDefault="008D109D">
            <w:pPr>
              <w:spacing w:after="120" w:line="360" w:lineRule="auto"/>
            </w:pPr>
            <w:r>
              <w:rPr>
                <w:rFonts w:ascii="Calibri" w:eastAsia="Calibri" w:hAnsi="Calibri" w:cs="Calibri"/>
                <w:color w:val="333333"/>
                <w:sz w:val="22"/>
                <w:szCs w:val="22"/>
              </w:rPr>
              <w:t>Connected Buildings</w:t>
            </w:r>
          </w:p>
          <w:p w14:paraId="49D807FE" w14:textId="77777777" w:rsidR="00745820" w:rsidRDefault="008D109D">
            <w:pPr>
              <w:spacing w:line="360" w:lineRule="auto"/>
            </w:pPr>
            <w:r>
              <w:rPr>
                <w:rFonts w:ascii="Calibri" w:eastAsia="Calibri" w:hAnsi="Calibri" w:cs="Calibri"/>
                <w:b/>
                <w:bCs/>
                <w:color w:val="B8860B"/>
                <w:sz w:val="22"/>
                <w:szCs w:val="22"/>
              </w:rPr>
              <w:t>1</w:t>
            </w:r>
          </w:p>
          <w:p w14:paraId="7FB7702A" w14:textId="77777777" w:rsidR="00745820" w:rsidRDefault="008D109D">
            <w:pPr>
              <w:spacing w:after="120" w:line="360" w:lineRule="auto"/>
            </w:pPr>
            <w:r>
              <w:rPr>
                <w:rFonts w:ascii="Calibri" w:eastAsia="Calibri" w:hAnsi="Calibri" w:cs="Calibri"/>
                <w:color w:val="333333"/>
                <w:sz w:val="22"/>
                <w:szCs w:val="22"/>
              </w:rPr>
              <w:t>Shared Garden Courtyard</w:t>
            </w:r>
          </w:p>
        </w:tc>
      </w:tr>
    </w:tbl>
    <w:p w14:paraId="11D19CDD" w14:textId="77777777" w:rsidR="00745820" w:rsidRDefault="00745820">
      <w:pPr>
        <w:spacing w:after="240"/>
      </w:pPr>
    </w:p>
    <w:p w14:paraId="317B7FC9" w14:textId="77777777" w:rsidR="00745820" w:rsidRDefault="008D109D">
      <w:pPr>
        <w:pStyle w:val="Heading2"/>
        <w:spacing w:before="360" w:after="120" w:line="312" w:lineRule="auto"/>
      </w:pPr>
      <w:r>
        <w:rPr>
          <w:rFonts w:ascii="Calibri" w:eastAsia="Calibri" w:hAnsi="Calibri" w:cs="Calibri"/>
          <w:color w:val="0A1628"/>
        </w:rPr>
        <w:t>A Destination, Not Just a Building</w:t>
      </w:r>
    </w:p>
    <w:p w14:paraId="69E21005" w14:textId="666511CE" w:rsidR="00745820" w:rsidRDefault="008D109D">
      <w:pPr>
        <w:spacing w:before="60" w:after="120" w:line="360" w:lineRule="auto"/>
      </w:pPr>
      <w:r>
        <w:rPr>
          <w:rFonts w:ascii="Calibri" w:eastAsia="Calibri" w:hAnsi="Calibri" w:cs="Calibri"/>
          <w:color w:val="1A1A2E"/>
          <w:sz w:val="22"/>
          <w:szCs w:val="22"/>
        </w:rPr>
        <w:t xml:space="preserve">These two adjacent buildings are connected by a </w:t>
      </w:r>
      <w:r>
        <w:rPr>
          <w:rFonts w:ascii="Calibri" w:eastAsia="Calibri" w:hAnsi="Calibri" w:cs="Calibri"/>
          <w:b/>
          <w:bCs/>
          <w:color w:val="1A1A2E"/>
          <w:sz w:val="22"/>
          <w:szCs w:val="22"/>
        </w:rPr>
        <w:t>shared garden courtyard</w:t>
      </w:r>
      <w:r>
        <w:rPr>
          <w:rFonts w:ascii="Calibri" w:eastAsia="Calibri" w:hAnsi="Calibri" w:cs="Calibri"/>
          <w:color w:val="1A1A2E"/>
          <w:sz w:val="22"/>
          <w:szCs w:val="22"/>
        </w:rPr>
        <w:t xml:space="preserve"> — an outdoor gathering space that serves as both a transitional area between the properties and an experiential </w:t>
      </w:r>
      <w:r w:rsidR="003225DA">
        <w:rPr>
          <w:rFonts w:ascii="Calibri" w:eastAsia="Calibri" w:hAnsi="Calibri" w:cs="Calibri"/>
          <w:color w:val="1A1A2E"/>
          <w:sz w:val="22"/>
          <w:szCs w:val="22"/>
        </w:rPr>
        <w:t>amenity</w:t>
      </w:r>
      <w:r>
        <w:rPr>
          <w:rFonts w:ascii="Calibri" w:eastAsia="Calibri" w:hAnsi="Calibri" w:cs="Calibri"/>
          <w:color w:val="1A1A2E"/>
          <w:sz w:val="22"/>
          <w:szCs w:val="22"/>
        </w:rPr>
        <w:t>. The courtyard creates a sense of arrival and discovery, encouraging dwell time and cross-patronage between tenants.</w:t>
      </w:r>
    </w:p>
    <w:p w14:paraId="208D6D08" w14:textId="77777777" w:rsidR="00745820" w:rsidRDefault="008D109D">
      <w:pPr>
        <w:spacing w:before="60" w:after="120" w:line="360" w:lineRule="auto"/>
      </w:pPr>
      <w:r>
        <w:rPr>
          <w:rFonts w:ascii="Calibri" w:eastAsia="Calibri" w:hAnsi="Calibri" w:cs="Calibri"/>
          <w:color w:val="1A1A2E"/>
          <w:sz w:val="22"/>
          <w:szCs w:val="22"/>
        </w:rPr>
        <w:t>The tenants within the campus are deliberately complementary:</w:t>
      </w:r>
    </w:p>
    <w:p w14:paraId="6C9C7DE2" w14:textId="77777777" w:rsidR="00745820" w:rsidRDefault="008D109D">
      <w:pPr>
        <w:pStyle w:val="ListParagraph"/>
        <w:numPr>
          <w:ilvl w:val="0"/>
          <w:numId w:val="1"/>
        </w:numPr>
        <w:spacing w:after="60" w:line="408" w:lineRule="auto"/>
      </w:pPr>
      <w:r>
        <w:rPr>
          <w:rFonts w:ascii="Calibri" w:eastAsia="Calibri" w:hAnsi="Calibri" w:cs="Calibri"/>
          <w:b/>
          <w:bCs/>
          <w:color w:val="1A1A2E"/>
          <w:sz w:val="22"/>
          <w:szCs w:val="22"/>
        </w:rPr>
        <w:t>100 E. 4th Avenue</w:t>
      </w:r>
      <w:r>
        <w:rPr>
          <w:rFonts w:ascii="Calibri" w:eastAsia="Calibri" w:hAnsi="Calibri" w:cs="Calibri"/>
          <w:color w:val="1A1A2E"/>
          <w:sz w:val="22"/>
          <w:szCs w:val="22"/>
        </w:rPr>
        <w:t xml:space="preserve"> houses a Food Hall, Craft Brewery, and Cocktail Bar — primarily evening and weekend entertainment-oriented concepts.</w:t>
      </w:r>
    </w:p>
    <w:p w14:paraId="4A9626DC" w14:textId="081C1C83" w:rsidR="00745820" w:rsidRDefault="008D109D" w:rsidP="003225DA">
      <w:pPr>
        <w:pStyle w:val="ListParagraph"/>
        <w:numPr>
          <w:ilvl w:val="0"/>
          <w:numId w:val="1"/>
        </w:numPr>
        <w:spacing w:after="60" w:line="408" w:lineRule="auto"/>
      </w:pPr>
      <w:r>
        <w:rPr>
          <w:rFonts w:ascii="Calibri" w:eastAsia="Calibri" w:hAnsi="Calibri" w:cs="Calibri"/>
          <w:b/>
          <w:bCs/>
          <w:color w:val="1A1A2E"/>
          <w:sz w:val="22"/>
          <w:szCs w:val="22"/>
        </w:rPr>
        <w:t>334 N. Donnelly Street</w:t>
      </w:r>
      <w:r>
        <w:rPr>
          <w:rFonts w:ascii="Calibri" w:eastAsia="Calibri" w:hAnsi="Calibri" w:cs="Calibri"/>
          <w:color w:val="1A1A2E"/>
          <w:sz w:val="22"/>
          <w:szCs w:val="22"/>
        </w:rPr>
        <w:t xml:space="preserve"> operates as a Mixed Food &amp; Retail Marketplace — an artisanal marketplace combining curated food vendors with specialty retail, </w:t>
      </w:r>
      <w:r w:rsidRPr="003225DA">
        <w:rPr>
          <w:rFonts w:ascii="Calibri" w:eastAsia="Calibri" w:hAnsi="Calibri" w:cs="Calibri"/>
          <w:color w:val="1A1A2E"/>
          <w:sz w:val="22"/>
          <w:szCs w:val="22"/>
        </w:rPr>
        <w:t>driving daytime browsing and tourism traffic.</w:t>
      </w:r>
    </w:p>
    <w:p w14:paraId="7D5DA527" w14:textId="4C4BC1A5" w:rsidR="00745820" w:rsidRDefault="008D109D">
      <w:pPr>
        <w:spacing w:before="60" w:after="120" w:line="360" w:lineRule="auto"/>
      </w:pPr>
      <w:r>
        <w:rPr>
          <w:rFonts w:ascii="Calibri" w:eastAsia="Calibri" w:hAnsi="Calibri" w:cs="Calibri"/>
          <w:color w:val="1A1A2E"/>
          <w:sz w:val="22"/>
          <w:szCs w:val="22"/>
        </w:rPr>
        <w:t xml:space="preserve">This complementary programming creates a </w:t>
      </w:r>
      <w:r>
        <w:rPr>
          <w:rFonts w:ascii="Calibri" w:eastAsia="Calibri" w:hAnsi="Calibri" w:cs="Calibri"/>
          <w:b/>
          <w:bCs/>
          <w:color w:val="1A1A2E"/>
          <w:sz w:val="22"/>
          <w:szCs w:val="22"/>
        </w:rPr>
        <w:t>full-day destination cycle</w:t>
      </w:r>
      <w:r>
        <w:rPr>
          <w:rFonts w:ascii="Calibri" w:eastAsia="Calibri" w:hAnsi="Calibri" w:cs="Calibri"/>
          <w:color w:val="1A1A2E"/>
          <w:sz w:val="22"/>
          <w:szCs w:val="22"/>
        </w:rPr>
        <w:t xml:space="preserve">: daytime marketplace traffic transitions into evening food hall, brewery, and cocktail bar activity, maximizing utilization of the parking assets and outdoor courtyard across all </w:t>
      </w:r>
      <w:r w:rsidR="001F2FA0">
        <w:rPr>
          <w:rFonts w:ascii="Calibri" w:eastAsia="Calibri" w:hAnsi="Calibri" w:cs="Calibri"/>
          <w:color w:val="1A1A2E"/>
          <w:sz w:val="22"/>
          <w:szCs w:val="22"/>
        </w:rPr>
        <w:t>day parts</w:t>
      </w:r>
      <w:r>
        <w:rPr>
          <w:rFonts w:ascii="Calibri" w:eastAsia="Calibri" w:hAnsi="Calibri" w:cs="Calibri"/>
          <w:color w:val="1A1A2E"/>
          <w:sz w:val="22"/>
          <w:szCs w:val="22"/>
        </w:rPr>
        <w:t>.</w:t>
      </w:r>
    </w:p>
    <w:p w14:paraId="0C95C434" w14:textId="77777777" w:rsidR="00745820" w:rsidRDefault="008D109D">
      <w:pPr>
        <w:pStyle w:val="Heading2"/>
        <w:spacing w:before="360" w:after="120" w:line="312" w:lineRule="auto"/>
      </w:pPr>
      <w:r>
        <w:rPr>
          <w:rFonts w:ascii="Calibri" w:eastAsia="Calibri" w:hAnsi="Calibri" w:cs="Calibri"/>
          <w:color w:val="0A1628"/>
        </w:rPr>
        <w:t>Alignment with Institutional Trends</w:t>
      </w:r>
    </w:p>
    <w:p w14:paraId="6894BC41" w14:textId="77777777" w:rsidR="00745820" w:rsidRDefault="008D109D">
      <w:pPr>
        <w:spacing w:before="60" w:after="120" w:line="360" w:lineRule="auto"/>
      </w:pPr>
      <w:r>
        <w:rPr>
          <w:rFonts w:ascii="Calibri" w:eastAsia="Calibri" w:hAnsi="Calibri" w:cs="Calibri"/>
          <w:color w:val="1A1A2E"/>
          <w:sz w:val="22"/>
          <w:szCs w:val="22"/>
        </w:rPr>
        <w:t xml:space="preserve">The Experiential Campus model aligns directly with the most significant macro trend in retail real estate. According to CBRE, </w:t>
      </w:r>
      <w:r>
        <w:rPr>
          <w:rFonts w:ascii="Calibri" w:eastAsia="Calibri" w:hAnsi="Calibri" w:cs="Calibri"/>
          <w:b/>
          <w:bCs/>
          <w:color w:val="1A1A2E"/>
          <w:sz w:val="22"/>
          <w:szCs w:val="22"/>
        </w:rPr>
        <w:t>81% of shoppers</w:t>
      </w:r>
      <w:r>
        <w:rPr>
          <w:rFonts w:ascii="Calibri" w:eastAsia="Calibri" w:hAnsi="Calibri" w:cs="Calibri"/>
          <w:color w:val="1A1A2E"/>
          <w:sz w:val="22"/>
          <w:szCs w:val="22"/>
        </w:rPr>
        <w:t xml:space="preserve"> are more likely to visit properties that provide unique experiences such as in-store events, food halls, and interactive environments. The International Council of Shopping Centers (ICSC) reports that </w:t>
      </w:r>
      <w:r>
        <w:rPr>
          <w:rFonts w:ascii="Calibri" w:eastAsia="Calibri" w:hAnsi="Calibri" w:cs="Calibri"/>
          <w:b/>
          <w:bCs/>
          <w:color w:val="1A1A2E"/>
          <w:sz w:val="22"/>
          <w:szCs w:val="22"/>
        </w:rPr>
        <w:t>45% of consumer spending</w:t>
      </w:r>
      <w:r>
        <w:rPr>
          <w:rFonts w:ascii="Calibri" w:eastAsia="Calibri" w:hAnsi="Calibri" w:cs="Calibri"/>
          <w:color w:val="1A1A2E"/>
          <w:sz w:val="22"/>
          <w:szCs w:val="22"/>
        </w:rPr>
        <w:t xml:space="preserve"> at retail centers now goes to dining, entertainment, and services — categories that are represented across this campus.</w:t>
      </w:r>
    </w:p>
    <w:p w14:paraId="2D0700C0" w14:textId="71340B70" w:rsidR="00745820" w:rsidRDefault="008D109D">
      <w:pPr>
        <w:spacing w:before="60" w:after="120" w:line="360" w:lineRule="auto"/>
      </w:pPr>
      <w:r>
        <w:rPr>
          <w:rFonts w:ascii="Calibri" w:eastAsia="Calibri" w:hAnsi="Calibri" w:cs="Calibri"/>
          <w:color w:val="1A1A2E"/>
          <w:sz w:val="22"/>
          <w:szCs w:val="22"/>
        </w:rPr>
        <w:t xml:space="preserve">National retail </w:t>
      </w:r>
      <w:r w:rsidR="00425434">
        <w:rPr>
          <w:rFonts w:ascii="Calibri" w:eastAsia="Calibri" w:hAnsi="Calibri" w:cs="Calibri"/>
          <w:color w:val="1A1A2E"/>
          <w:sz w:val="22"/>
          <w:szCs w:val="22"/>
        </w:rPr>
        <w:t>vacancies</w:t>
      </w:r>
      <w:r>
        <w:rPr>
          <w:rFonts w:ascii="Calibri" w:eastAsia="Calibri" w:hAnsi="Calibri" w:cs="Calibri"/>
          <w:color w:val="1A1A2E"/>
          <w:sz w:val="22"/>
          <w:szCs w:val="22"/>
        </w:rPr>
        <w:t xml:space="preserve"> stand at </w:t>
      </w:r>
      <w:r>
        <w:rPr>
          <w:rFonts w:ascii="Calibri" w:eastAsia="Calibri" w:hAnsi="Calibri" w:cs="Calibri"/>
          <w:b/>
          <w:bCs/>
          <w:color w:val="1A1A2E"/>
          <w:sz w:val="22"/>
          <w:szCs w:val="22"/>
        </w:rPr>
        <w:t>5.1% in Q1 2025</w:t>
      </w:r>
      <w:r>
        <w:rPr>
          <w:rFonts w:ascii="Calibri" w:eastAsia="Calibri" w:hAnsi="Calibri" w:cs="Calibri"/>
          <w:color w:val="1A1A2E"/>
          <w:sz w:val="22"/>
          <w:szCs w:val="22"/>
        </w:rPr>
        <w:t xml:space="preserve"> (ICSC), near a nine-year low, with open-air and mixed-use concepts comprising </w:t>
      </w:r>
      <w:r>
        <w:rPr>
          <w:rFonts w:ascii="Calibri" w:eastAsia="Calibri" w:hAnsi="Calibri" w:cs="Calibri"/>
          <w:b/>
          <w:bCs/>
          <w:color w:val="1A1A2E"/>
          <w:sz w:val="22"/>
          <w:szCs w:val="22"/>
        </w:rPr>
        <w:t>60% of new construction</w:t>
      </w:r>
      <w:r>
        <w:rPr>
          <w:rFonts w:ascii="Calibri" w:eastAsia="Calibri" w:hAnsi="Calibri" w:cs="Calibri"/>
          <w:color w:val="1A1A2E"/>
          <w:sz w:val="22"/>
          <w:szCs w:val="22"/>
        </w:rPr>
        <w:t xml:space="preserve"> nationally. This portfolio’s organic, curated campus represents a format that major REITs and institutional investors are actively seeking — yet one that is extremely difficult to replicate through new development alone.</w:t>
      </w:r>
    </w:p>
    <w:p w14:paraId="00B49840" w14:textId="77777777" w:rsidR="00745820" w:rsidRDefault="00745820">
      <w:pPr>
        <w:spacing w:before="240"/>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9344"/>
      </w:tblGrid>
      <w:tr w:rsidR="00745820" w14:paraId="50A0A92E" w14:textId="77777777">
        <w:tc>
          <w:tcPr>
            <w:tcW w:w="0" w:type="auto"/>
            <w:tcBorders>
              <w:top w:val="single" w:sz="6" w:space="0" w:color="B8860B"/>
              <w:left w:val="single" w:sz="6" w:space="0" w:color="B8860B"/>
              <w:bottom w:val="single" w:sz="6" w:space="0" w:color="B8860B"/>
              <w:right w:val="single" w:sz="6" w:space="0" w:color="B8860B"/>
            </w:tcBorders>
            <w:shd w:val="clear" w:color="auto" w:fill="FDF8EE"/>
            <w:tcMar>
              <w:top w:w="180" w:type="dxa"/>
              <w:left w:w="180" w:type="dxa"/>
              <w:bottom w:w="180" w:type="dxa"/>
              <w:right w:w="180" w:type="dxa"/>
            </w:tcMar>
          </w:tcPr>
          <w:p w14:paraId="2B418234" w14:textId="77777777" w:rsidR="00745820" w:rsidRDefault="008D109D">
            <w:pPr>
              <w:spacing w:after="60" w:line="360" w:lineRule="auto"/>
            </w:pPr>
            <w:r>
              <w:rPr>
                <w:rFonts w:ascii="Calibri" w:eastAsia="Calibri" w:hAnsi="Calibri" w:cs="Calibri"/>
                <w:b/>
                <w:bCs/>
                <w:color w:val="B8860B"/>
                <w:sz w:val="22"/>
                <w:szCs w:val="22"/>
              </w:rPr>
              <w:t>◆ Competitive Moat</w:t>
            </w:r>
          </w:p>
          <w:p w14:paraId="0B2CCC27" w14:textId="77777777" w:rsidR="00745820" w:rsidRDefault="008D109D">
            <w:pPr>
              <w:spacing w:line="360" w:lineRule="auto"/>
            </w:pPr>
            <w:r>
              <w:rPr>
                <w:rFonts w:ascii="Calibri" w:eastAsia="Calibri" w:hAnsi="Calibri" w:cs="Calibri"/>
                <w:color w:val="1A1A2E"/>
                <w:sz w:val="22"/>
                <w:szCs w:val="22"/>
              </w:rPr>
              <w:t>The organic nature of this campus — built through the curation of complementary tenants in historic, character-rich buildings connected by a garden courtyard — creates a competitive advantage that cannot be easily replicated by new construction. The authenticity, tenant relationships, and placemaking qualities of this campus represent a significant barrier to competitive entry.</w:t>
            </w:r>
          </w:p>
        </w:tc>
      </w:tr>
    </w:tbl>
    <w:p w14:paraId="3E8723F6" w14:textId="77777777" w:rsidR="00745820" w:rsidRDefault="00745820">
      <w:pPr>
        <w:spacing w:after="240"/>
      </w:pPr>
    </w:p>
    <w:p w14:paraId="617B7938" w14:textId="77777777" w:rsidR="00745820" w:rsidRDefault="00745820">
      <w:pPr>
        <w:pBdr>
          <w:bottom w:val="single" w:sz="6" w:space="0" w:color="B8860B"/>
        </w:pBdr>
        <w:spacing w:before="240" w:after="240"/>
      </w:pPr>
    </w:p>
    <w:p w14:paraId="58E645EA" w14:textId="77777777" w:rsidR="00745820" w:rsidRDefault="008D109D">
      <w:pPr>
        <w:pStyle w:val="Heading1"/>
        <w:spacing w:before="480" w:after="120" w:line="312" w:lineRule="auto"/>
      </w:pPr>
      <w:r>
        <w:rPr>
          <w:rFonts w:ascii="Calibri" w:eastAsia="Calibri" w:hAnsi="Calibri" w:cs="Calibri"/>
          <w:color w:val="0A1628"/>
        </w:rPr>
        <w:t>IV. Individual Property Profiles</w:t>
      </w:r>
    </w:p>
    <w:p w14:paraId="1515036B" w14:textId="77777777" w:rsidR="00745820" w:rsidRDefault="00745820">
      <w:pPr>
        <w:pBdr>
          <w:bottom w:val="single" w:sz="6" w:space="0" w:color="0A1628"/>
        </w:pBdr>
        <w:spacing w:before="240" w:after="240"/>
      </w:pPr>
    </w:p>
    <w:p w14:paraId="6230D871" w14:textId="77777777" w:rsidR="00745820" w:rsidRDefault="008D109D">
      <w:pPr>
        <w:pStyle w:val="Heading2"/>
        <w:spacing w:before="360" w:after="120" w:line="312" w:lineRule="auto"/>
      </w:pPr>
      <w:r>
        <w:rPr>
          <w:rFonts w:ascii="Calibri" w:eastAsia="Calibri" w:hAnsi="Calibri" w:cs="Calibri"/>
          <w:color w:val="0A1628"/>
        </w:rPr>
        <w:t>Property 1: 100 E. 4th Avenue</w:t>
      </w:r>
    </w:p>
    <w:p w14:paraId="06EC4637" w14:textId="77777777" w:rsidR="00745820" w:rsidRDefault="00745820">
      <w:pPr>
        <w:spacing w:before="200"/>
      </w:pPr>
    </w:p>
    <w:tbl>
      <w:tblPr>
        <w:tblW w:w="5000" w:type="pct"/>
        <w:tblBorders>
          <w:top w:val="single" w:sz="4" w:space="0" w:color="E5E7EB"/>
          <w:left w:val="single" w:sz="4" w:space="0" w:color="E5E7EB"/>
          <w:bottom w:val="single" w:sz="4" w:space="0" w:color="E5E7EB"/>
          <w:right w:val="single" w:sz="4" w:space="0" w:color="E5E7EB"/>
          <w:insideH w:val="single" w:sz="4" w:space="0" w:color="E5E7EB"/>
          <w:insideV w:val="single" w:sz="4" w:space="0" w:color="E5E7EB"/>
        </w:tblBorders>
        <w:tblCellMar>
          <w:left w:w="10" w:type="dxa"/>
          <w:right w:w="10" w:type="dxa"/>
        </w:tblCellMar>
        <w:tblLook w:val="04A0" w:firstRow="1" w:lastRow="0" w:firstColumn="1" w:lastColumn="0" w:noHBand="0" w:noVBand="1"/>
      </w:tblPr>
      <w:tblGrid>
        <w:gridCol w:w="3085"/>
        <w:gridCol w:w="6265"/>
      </w:tblGrid>
      <w:tr w:rsidR="00745820" w14:paraId="2192DE74" w14:textId="77777777">
        <w:trPr>
          <w:tblHeader/>
        </w:trPr>
        <w:tc>
          <w:tcPr>
            <w:tcW w:w="1650" w:type="pct"/>
            <w:shd w:val="clear" w:color="auto" w:fill="0A1628"/>
            <w:tcMar>
              <w:top w:w="90" w:type="dxa"/>
              <w:left w:w="120" w:type="dxa"/>
              <w:bottom w:w="90" w:type="dxa"/>
              <w:right w:w="120" w:type="dxa"/>
            </w:tcMar>
          </w:tcPr>
          <w:p w14:paraId="314E5352" w14:textId="77777777" w:rsidR="00745820" w:rsidRDefault="008D109D">
            <w:r>
              <w:rPr>
                <w:rFonts w:ascii="Calibri" w:eastAsia="Calibri" w:hAnsi="Calibri" w:cs="Calibri"/>
                <w:b/>
                <w:bCs/>
                <w:color w:val="FFFFFF"/>
                <w:spacing w:val="8"/>
                <w:sz w:val="20"/>
                <w:szCs w:val="20"/>
              </w:rPr>
              <w:t>Attribute</w:t>
            </w:r>
          </w:p>
        </w:tc>
        <w:tc>
          <w:tcPr>
            <w:tcW w:w="3350" w:type="pct"/>
            <w:shd w:val="clear" w:color="auto" w:fill="0A1628"/>
            <w:tcMar>
              <w:top w:w="90" w:type="dxa"/>
              <w:left w:w="120" w:type="dxa"/>
              <w:bottom w:w="90" w:type="dxa"/>
              <w:right w:w="120" w:type="dxa"/>
            </w:tcMar>
          </w:tcPr>
          <w:p w14:paraId="24DF3221" w14:textId="77777777" w:rsidR="00745820" w:rsidRDefault="008D109D">
            <w:r>
              <w:rPr>
                <w:rFonts w:ascii="Calibri" w:eastAsia="Calibri" w:hAnsi="Calibri" w:cs="Calibri"/>
                <w:b/>
                <w:bCs/>
                <w:color w:val="FFFFFF"/>
                <w:spacing w:val="8"/>
                <w:sz w:val="20"/>
                <w:szCs w:val="20"/>
              </w:rPr>
              <w:t>Detail</w:t>
            </w:r>
          </w:p>
        </w:tc>
      </w:tr>
      <w:tr w:rsidR="00745820" w14:paraId="56D3E97A" w14:textId="77777777">
        <w:tc>
          <w:tcPr>
            <w:tcW w:w="1650" w:type="pct"/>
            <w:tcMar>
              <w:top w:w="90" w:type="dxa"/>
              <w:left w:w="120" w:type="dxa"/>
              <w:bottom w:w="90" w:type="dxa"/>
              <w:right w:w="120" w:type="dxa"/>
            </w:tcMar>
          </w:tcPr>
          <w:p w14:paraId="1A6CC00A" w14:textId="77777777" w:rsidR="00745820" w:rsidRDefault="008D109D">
            <w:r>
              <w:rPr>
                <w:rFonts w:ascii="Calibri" w:eastAsia="Calibri" w:hAnsi="Calibri" w:cs="Calibri"/>
                <w:b/>
                <w:bCs/>
                <w:color w:val="1A1A2E"/>
                <w:sz w:val="22"/>
                <w:szCs w:val="22"/>
              </w:rPr>
              <w:t>Address</w:t>
            </w:r>
          </w:p>
        </w:tc>
        <w:tc>
          <w:tcPr>
            <w:tcW w:w="3350" w:type="pct"/>
            <w:tcMar>
              <w:top w:w="90" w:type="dxa"/>
              <w:left w:w="120" w:type="dxa"/>
              <w:bottom w:w="90" w:type="dxa"/>
              <w:right w:w="120" w:type="dxa"/>
            </w:tcMar>
          </w:tcPr>
          <w:p w14:paraId="59100670" w14:textId="77777777" w:rsidR="00745820" w:rsidRDefault="008D109D">
            <w:r>
              <w:rPr>
                <w:rFonts w:ascii="Calibri" w:eastAsia="Calibri" w:hAnsi="Calibri" w:cs="Calibri"/>
                <w:color w:val="1A1A2E"/>
                <w:sz w:val="20"/>
                <w:szCs w:val="20"/>
              </w:rPr>
              <w:t>100 E. 4th Avenue, Mount Dora, FL</w:t>
            </w:r>
          </w:p>
        </w:tc>
      </w:tr>
      <w:tr w:rsidR="00745820" w14:paraId="00C319C3" w14:textId="77777777">
        <w:tc>
          <w:tcPr>
            <w:tcW w:w="1650" w:type="pct"/>
            <w:tcMar>
              <w:top w:w="90" w:type="dxa"/>
              <w:left w:w="120" w:type="dxa"/>
              <w:bottom w:w="90" w:type="dxa"/>
              <w:right w:w="120" w:type="dxa"/>
            </w:tcMar>
          </w:tcPr>
          <w:p w14:paraId="1AB0D1A7" w14:textId="77777777" w:rsidR="00745820" w:rsidRDefault="008D109D">
            <w:r>
              <w:rPr>
                <w:rFonts w:ascii="Calibri" w:eastAsia="Calibri" w:hAnsi="Calibri" w:cs="Calibri"/>
                <w:b/>
                <w:bCs/>
                <w:color w:val="1A1A2E"/>
                <w:sz w:val="22"/>
                <w:szCs w:val="22"/>
              </w:rPr>
              <w:t>Building Size</w:t>
            </w:r>
          </w:p>
        </w:tc>
        <w:tc>
          <w:tcPr>
            <w:tcW w:w="3350" w:type="pct"/>
            <w:tcMar>
              <w:top w:w="90" w:type="dxa"/>
              <w:left w:w="120" w:type="dxa"/>
              <w:bottom w:w="90" w:type="dxa"/>
              <w:right w:w="120" w:type="dxa"/>
            </w:tcMar>
          </w:tcPr>
          <w:p w14:paraId="0C67AF77" w14:textId="77777777" w:rsidR="00745820" w:rsidRDefault="008D109D">
            <w:r>
              <w:rPr>
                <w:rFonts w:ascii="Calibri" w:eastAsia="Calibri" w:hAnsi="Calibri" w:cs="Calibri"/>
                <w:color w:val="1A1A2E"/>
                <w:sz w:val="20"/>
                <w:szCs w:val="20"/>
              </w:rPr>
              <w:t>4,368 Square Feet</w:t>
            </w:r>
          </w:p>
        </w:tc>
      </w:tr>
      <w:tr w:rsidR="00745820" w14:paraId="44111454" w14:textId="77777777">
        <w:tc>
          <w:tcPr>
            <w:tcW w:w="1650" w:type="pct"/>
            <w:tcMar>
              <w:top w:w="90" w:type="dxa"/>
              <w:left w:w="120" w:type="dxa"/>
              <w:bottom w:w="90" w:type="dxa"/>
              <w:right w:w="120" w:type="dxa"/>
            </w:tcMar>
          </w:tcPr>
          <w:p w14:paraId="57C003C9" w14:textId="77777777" w:rsidR="00745820" w:rsidRDefault="008D109D">
            <w:r>
              <w:rPr>
                <w:rFonts w:ascii="Calibri" w:eastAsia="Calibri" w:hAnsi="Calibri" w:cs="Calibri"/>
                <w:b/>
                <w:bCs/>
                <w:color w:val="1A1A2E"/>
                <w:sz w:val="22"/>
                <w:szCs w:val="22"/>
              </w:rPr>
              <w:t>Current Tenants</w:t>
            </w:r>
          </w:p>
        </w:tc>
        <w:tc>
          <w:tcPr>
            <w:tcW w:w="3350" w:type="pct"/>
            <w:tcMar>
              <w:top w:w="90" w:type="dxa"/>
              <w:left w:w="120" w:type="dxa"/>
              <w:bottom w:w="90" w:type="dxa"/>
              <w:right w:w="120" w:type="dxa"/>
            </w:tcMar>
          </w:tcPr>
          <w:p w14:paraId="7C5E2DD4" w14:textId="77777777" w:rsidR="00745820" w:rsidRDefault="008D109D">
            <w:r>
              <w:rPr>
                <w:rFonts w:ascii="Calibri" w:eastAsia="Calibri" w:hAnsi="Calibri" w:cs="Calibri"/>
                <w:color w:val="1A1A2E"/>
                <w:sz w:val="20"/>
                <w:szCs w:val="20"/>
              </w:rPr>
              <w:t>Food Hall, Craft Brewery, Cocktail Bar</w:t>
            </w:r>
          </w:p>
        </w:tc>
      </w:tr>
      <w:tr w:rsidR="00745820" w14:paraId="4D33A1D2" w14:textId="77777777">
        <w:tc>
          <w:tcPr>
            <w:tcW w:w="1650" w:type="pct"/>
            <w:tcMar>
              <w:top w:w="90" w:type="dxa"/>
              <w:left w:w="120" w:type="dxa"/>
              <w:bottom w:w="90" w:type="dxa"/>
              <w:right w:w="120" w:type="dxa"/>
            </w:tcMar>
          </w:tcPr>
          <w:p w14:paraId="5E45AD29" w14:textId="77777777" w:rsidR="00745820" w:rsidRDefault="008D109D">
            <w:r>
              <w:rPr>
                <w:rFonts w:ascii="Calibri" w:eastAsia="Calibri" w:hAnsi="Calibri" w:cs="Calibri"/>
                <w:b/>
                <w:bCs/>
                <w:color w:val="1A1A2E"/>
                <w:sz w:val="22"/>
                <w:szCs w:val="22"/>
              </w:rPr>
              <w:t>Parking</w:t>
            </w:r>
          </w:p>
        </w:tc>
        <w:tc>
          <w:tcPr>
            <w:tcW w:w="3350" w:type="pct"/>
            <w:tcMar>
              <w:top w:w="90" w:type="dxa"/>
              <w:left w:w="120" w:type="dxa"/>
              <w:bottom w:w="90" w:type="dxa"/>
              <w:right w:w="120" w:type="dxa"/>
            </w:tcMar>
          </w:tcPr>
          <w:p w14:paraId="3210E526" w14:textId="599214A8" w:rsidR="00745820" w:rsidRDefault="00425434">
            <w:r>
              <w:rPr>
                <w:rFonts w:ascii="Calibri" w:eastAsia="Calibri" w:hAnsi="Calibri" w:cs="Calibri"/>
                <w:color w:val="1A1A2E"/>
                <w:sz w:val="20"/>
                <w:szCs w:val="20"/>
              </w:rPr>
              <w:t>14</w:t>
            </w:r>
            <w:r w:rsidR="008D109D">
              <w:rPr>
                <w:rFonts w:ascii="Calibri" w:eastAsia="Calibri" w:hAnsi="Calibri" w:cs="Calibri"/>
                <w:color w:val="1A1A2E"/>
                <w:sz w:val="20"/>
                <w:szCs w:val="20"/>
              </w:rPr>
              <w:t xml:space="preserve"> Shared Spaces (with 334 N. Donnelly St.)</w:t>
            </w:r>
          </w:p>
        </w:tc>
      </w:tr>
      <w:tr w:rsidR="00745820" w14:paraId="5ED7AA3B" w14:textId="77777777">
        <w:tc>
          <w:tcPr>
            <w:tcW w:w="1650" w:type="pct"/>
            <w:tcMar>
              <w:top w:w="90" w:type="dxa"/>
              <w:left w:w="120" w:type="dxa"/>
              <w:bottom w:w="90" w:type="dxa"/>
              <w:right w:w="120" w:type="dxa"/>
            </w:tcMar>
          </w:tcPr>
          <w:p w14:paraId="50D3C5E9" w14:textId="77777777" w:rsidR="00745820" w:rsidRDefault="008D109D">
            <w:r>
              <w:rPr>
                <w:rFonts w:ascii="Calibri" w:eastAsia="Calibri" w:hAnsi="Calibri" w:cs="Calibri"/>
                <w:b/>
                <w:bCs/>
                <w:color w:val="1A1A2E"/>
                <w:sz w:val="22"/>
                <w:szCs w:val="22"/>
              </w:rPr>
              <w:t>Campus Affiliation</w:t>
            </w:r>
          </w:p>
        </w:tc>
        <w:tc>
          <w:tcPr>
            <w:tcW w:w="3350" w:type="pct"/>
            <w:tcMar>
              <w:top w:w="90" w:type="dxa"/>
              <w:left w:w="120" w:type="dxa"/>
              <w:bottom w:w="90" w:type="dxa"/>
              <w:right w:w="120" w:type="dxa"/>
            </w:tcMar>
          </w:tcPr>
          <w:p w14:paraId="675C6691" w14:textId="77777777" w:rsidR="00745820" w:rsidRDefault="008D109D">
            <w:r>
              <w:rPr>
                <w:rFonts w:ascii="Calibri" w:eastAsia="Calibri" w:hAnsi="Calibri" w:cs="Calibri"/>
                <w:color w:val="1A1A2E"/>
                <w:sz w:val="20"/>
                <w:szCs w:val="20"/>
              </w:rPr>
              <w:t>Experiential Campus</w:t>
            </w:r>
          </w:p>
        </w:tc>
      </w:tr>
    </w:tbl>
    <w:p w14:paraId="12AA864F" w14:textId="77777777" w:rsidR="00745820" w:rsidRDefault="00745820">
      <w:pPr>
        <w:spacing w:after="200"/>
      </w:pPr>
    </w:p>
    <w:p w14:paraId="32EF3541" w14:textId="77777777" w:rsidR="00745820" w:rsidRDefault="008D109D">
      <w:pPr>
        <w:spacing w:before="60" w:after="120" w:line="360" w:lineRule="auto"/>
      </w:pPr>
      <w:r>
        <w:rPr>
          <w:rFonts w:ascii="Calibri" w:eastAsia="Calibri" w:hAnsi="Calibri" w:cs="Calibri"/>
          <w:b/>
          <w:bCs/>
          <w:color w:val="1A1A2E"/>
          <w:sz w:val="22"/>
          <w:szCs w:val="22"/>
        </w:rPr>
        <w:t>100 E. 4th Avenue</w:t>
      </w:r>
      <w:r>
        <w:rPr>
          <w:rFonts w:ascii="Calibri" w:eastAsia="Calibri" w:hAnsi="Calibri" w:cs="Calibri"/>
          <w:color w:val="1A1A2E"/>
          <w:sz w:val="22"/>
          <w:szCs w:val="22"/>
        </w:rPr>
        <w:t xml:space="preserve"> anchors the entertainment side of the Experiential Campus. Three complementary food &amp; beverage concepts — a food hall, craft brewery, and cocktail bar — operate under one roof, creating a built-in dining and nightlife destination that draws strong </w:t>
      </w:r>
      <w:r>
        <w:rPr>
          <w:rFonts w:ascii="Calibri" w:eastAsia="Calibri" w:hAnsi="Calibri" w:cs="Calibri"/>
          <w:b/>
          <w:bCs/>
          <w:color w:val="1A1A2E"/>
          <w:sz w:val="22"/>
          <w:szCs w:val="22"/>
        </w:rPr>
        <w:t>evening and weekend traffic</w:t>
      </w:r>
      <w:r>
        <w:rPr>
          <w:rFonts w:ascii="Calibri" w:eastAsia="Calibri" w:hAnsi="Calibri" w:cs="Calibri"/>
          <w:color w:val="1A1A2E"/>
          <w:sz w:val="22"/>
          <w:szCs w:val="22"/>
        </w:rPr>
        <w:t>.</w:t>
      </w:r>
    </w:p>
    <w:p w14:paraId="1DDACD11" w14:textId="77777777" w:rsidR="00745820" w:rsidRDefault="008D109D">
      <w:pPr>
        <w:spacing w:before="60" w:after="120" w:line="360" w:lineRule="auto"/>
      </w:pPr>
      <w:r>
        <w:rPr>
          <w:rFonts w:ascii="Calibri" w:eastAsia="Calibri" w:hAnsi="Calibri" w:cs="Calibri"/>
          <w:color w:val="1A1A2E"/>
          <w:sz w:val="22"/>
          <w:szCs w:val="22"/>
        </w:rPr>
        <w:t xml:space="preserve">The multi-concept format within a single building generates cross-selling synergies: patrons visiting the craft brewery frequently extend their stay to the cocktail bar, while the food hall provides a casual dining option that broadens the customer base beyond dedicated bar-goers. This format mirrors the food hall and entertainment models that have driven foot traffic gains of </w:t>
      </w:r>
      <w:r>
        <w:rPr>
          <w:rFonts w:ascii="Calibri" w:eastAsia="Calibri" w:hAnsi="Calibri" w:cs="Calibri"/>
          <w:b/>
          <w:bCs/>
          <w:color w:val="1A1A2E"/>
          <w:sz w:val="22"/>
          <w:szCs w:val="22"/>
        </w:rPr>
        <w:t>10% or more</w:t>
      </w:r>
      <w:r>
        <w:rPr>
          <w:rFonts w:ascii="Calibri" w:eastAsia="Calibri" w:hAnsi="Calibri" w:cs="Calibri"/>
          <w:color w:val="1A1A2E"/>
          <w:sz w:val="22"/>
          <w:szCs w:val="22"/>
        </w:rPr>
        <w:t xml:space="preserve"> at comparable open-air retail destinations nationally.</w:t>
      </w:r>
    </w:p>
    <w:p w14:paraId="6DF9BF78" w14:textId="77777777" w:rsidR="00745820" w:rsidRDefault="008D109D">
      <w:pPr>
        <w:spacing w:before="60" w:after="120" w:line="360" w:lineRule="auto"/>
      </w:pPr>
      <w:r>
        <w:rPr>
          <w:rFonts w:ascii="Calibri" w:eastAsia="Calibri" w:hAnsi="Calibri" w:cs="Calibri"/>
          <w:color w:val="1A1A2E"/>
          <w:sz w:val="22"/>
          <w:szCs w:val="22"/>
        </w:rPr>
        <w:t>The property benefits from its adjacency to 334 N. Donnelly Street and the shared garden courtyard, which provides an outdoor amenity space that extends capacity during peak periods and enhances the overall customer experience.</w:t>
      </w:r>
    </w:p>
    <w:p w14:paraId="21334493" w14:textId="77777777" w:rsidR="00745820" w:rsidRDefault="00745820">
      <w:pPr>
        <w:pBdr>
          <w:bottom w:val="single" w:sz="6" w:space="0" w:color="0A1628"/>
        </w:pBdr>
        <w:spacing w:before="240" w:after="240"/>
      </w:pPr>
    </w:p>
    <w:p w14:paraId="25DC50CB" w14:textId="77777777" w:rsidR="005131D1" w:rsidRDefault="005131D1">
      <w:pPr>
        <w:pStyle w:val="Heading2"/>
        <w:spacing w:before="360" w:after="120" w:line="312" w:lineRule="auto"/>
        <w:rPr>
          <w:rFonts w:ascii="Calibri" w:eastAsia="Calibri" w:hAnsi="Calibri" w:cs="Calibri"/>
          <w:color w:val="0A1628"/>
        </w:rPr>
      </w:pPr>
    </w:p>
    <w:p w14:paraId="72B4C03F" w14:textId="77777777" w:rsidR="005131D1" w:rsidRDefault="005131D1">
      <w:pPr>
        <w:pStyle w:val="Heading2"/>
        <w:spacing w:before="360" w:after="120" w:line="312" w:lineRule="auto"/>
        <w:rPr>
          <w:rFonts w:ascii="Calibri" w:eastAsia="Calibri" w:hAnsi="Calibri" w:cs="Calibri"/>
          <w:color w:val="0A1628"/>
        </w:rPr>
      </w:pPr>
    </w:p>
    <w:p w14:paraId="46DA771F" w14:textId="101437FE" w:rsidR="00745820" w:rsidRDefault="008D109D">
      <w:pPr>
        <w:pStyle w:val="Heading2"/>
        <w:spacing w:before="360" w:after="120" w:line="312" w:lineRule="auto"/>
      </w:pPr>
      <w:r>
        <w:rPr>
          <w:rFonts w:ascii="Calibri" w:eastAsia="Calibri" w:hAnsi="Calibri" w:cs="Calibri"/>
          <w:color w:val="0A1628"/>
        </w:rPr>
        <w:t>Property 2: 334 N. Donnelly Street</w:t>
      </w:r>
    </w:p>
    <w:p w14:paraId="4618B12F" w14:textId="77777777" w:rsidR="00745820" w:rsidRDefault="00745820">
      <w:pPr>
        <w:spacing w:before="200"/>
      </w:pPr>
    </w:p>
    <w:tbl>
      <w:tblPr>
        <w:tblW w:w="5000" w:type="pct"/>
        <w:tblBorders>
          <w:top w:val="single" w:sz="4" w:space="0" w:color="E5E7EB"/>
          <w:left w:val="single" w:sz="4" w:space="0" w:color="E5E7EB"/>
          <w:bottom w:val="single" w:sz="4" w:space="0" w:color="E5E7EB"/>
          <w:right w:val="single" w:sz="4" w:space="0" w:color="E5E7EB"/>
          <w:insideH w:val="single" w:sz="4" w:space="0" w:color="E5E7EB"/>
          <w:insideV w:val="single" w:sz="4" w:space="0" w:color="E5E7EB"/>
        </w:tblBorders>
        <w:tblCellMar>
          <w:left w:w="10" w:type="dxa"/>
          <w:right w:w="10" w:type="dxa"/>
        </w:tblCellMar>
        <w:tblLook w:val="04A0" w:firstRow="1" w:lastRow="0" w:firstColumn="1" w:lastColumn="0" w:noHBand="0" w:noVBand="1"/>
      </w:tblPr>
      <w:tblGrid>
        <w:gridCol w:w="3272"/>
        <w:gridCol w:w="6078"/>
      </w:tblGrid>
      <w:tr w:rsidR="00745820" w14:paraId="1901E5FB" w14:textId="77777777">
        <w:trPr>
          <w:tblHeader/>
        </w:trPr>
        <w:tc>
          <w:tcPr>
            <w:tcW w:w="1750" w:type="pct"/>
            <w:shd w:val="clear" w:color="auto" w:fill="0A1628"/>
            <w:tcMar>
              <w:top w:w="90" w:type="dxa"/>
              <w:left w:w="120" w:type="dxa"/>
              <w:bottom w:w="90" w:type="dxa"/>
              <w:right w:w="120" w:type="dxa"/>
            </w:tcMar>
          </w:tcPr>
          <w:p w14:paraId="3C523882" w14:textId="77777777" w:rsidR="00745820" w:rsidRDefault="008D109D">
            <w:r>
              <w:rPr>
                <w:rFonts w:ascii="Calibri" w:eastAsia="Calibri" w:hAnsi="Calibri" w:cs="Calibri"/>
                <w:b/>
                <w:bCs/>
                <w:color w:val="FFFFFF"/>
                <w:spacing w:val="8"/>
                <w:sz w:val="20"/>
                <w:szCs w:val="20"/>
              </w:rPr>
              <w:t>Attribute</w:t>
            </w:r>
          </w:p>
        </w:tc>
        <w:tc>
          <w:tcPr>
            <w:tcW w:w="3250" w:type="pct"/>
            <w:shd w:val="clear" w:color="auto" w:fill="0A1628"/>
            <w:tcMar>
              <w:top w:w="90" w:type="dxa"/>
              <w:left w:w="120" w:type="dxa"/>
              <w:bottom w:w="90" w:type="dxa"/>
              <w:right w:w="120" w:type="dxa"/>
            </w:tcMar>
          </w:tcPr>
          <w:p w14:paraId="394EA44D" w14:textId="77777777" w:rsidR="00745820" w:rsidRDefault="008D109D">
            <w:r>
              <w:rPr>
                <w:rFonts w:ascii="Calibri" w:eastAsia="Calibri" w:hAnsi="Calibri" w:cs="Calibri"/>
                <w:b/>
                <w:bCs/>
                <w:color w:val="FFFFFF"/>
                <w:spacing w:val="8"/>
                <w:sz w:val="20"/>
                <w:szCs w:val="20"/>
              </w:rPr>
              <w:t>Detail</w:t>
            </w:r>
          </w:p>
        </w:tc>
      </w:tr>
      <w:tr w:rsidR="00745820" w14:paraId="4C4F027B" w14:textId="77777777">
        <w:tc>
          <w:tcPr>
            <w:tcW w:w="1750" w:type="pct"/>
            <w:tcMar>
              <w:top w:w="90" w:type="dxa"/>
              <w:left w:w="120" w:type="dxa"/>
              <w:bottom w:w="90" w:type="dxa"/>
              <w:right w:w="120" w:type="dxa"/>
            </w:tcMar>
          </w:tcPr>
          <w:p w14:paraId="78E09703" w14:textId="77777777" w:rsidR="00745820" w:rsidRDefault="008D109D">
            <w:r>
              <w:rPr>
                <w:rFonts w:ascii="Calibri" w:eastAsia="Calibri" w:hAnsi="Calibri" w:cs="Calibri"/>
                <w:b/>
                <w:bCs/>
                <w:color w:val="1A1A2E"/>
                <w:sz w:val="22"/>
                <w:szCs w:val="22"/>
              </w:rPr>
              <w:t>Address</w:t>
            </w:r>
          </w:p>
        </w:tc>
        <w:tc>
          <w:tcPr>
            <w:tcW w:w="3250" w:type="pct"/>
            <w:tcMar>
              <w:top w:w="90" w:type="dxa"/>
              <w:left w:w="120" w:type="dxa"/>
              <w:bottom w:w="90" w:type="dxa"/>
              <w:right w:w="120" w:type="dxa"/>
            </w:tcMar>
          </w:tcPr>
          <w:p w14:paraId="5B0E3D35" w14:textId="77777777" w:rsidR="00745820" w:rsidRDefault="008D109D">
            <w:r>
              <w:rPr>
                <w:rFonts w:ascii="Calibri" w:eastAsia="Calibri" w:hAnsi="Calibri" w:cs="Calibri"/>
                <w:color w:val="1A1A2E"/>
                <w:sz w:val="20"/>
                <w:szCs w:val="20"/>
              </w:rPr>
              <w:t>334 N. Donnelly Street, Mount Dora, FL</w:t>
            </w:r>
          </w:p>
        </w:tc>
      </w:tr>
      <w:tr w:rsidR="00745820" w14:paraId="4B6EE700" w14:textId="77777777">
        <w:tc>
          <w:tcPr>
            <w:tcW w:w="1750" w:type="pct"/>
            <w:tcMar>
              <w:top w:w="90" w:type="dxa"/>
              <w:left w:w="120" w:type="dxa"/>
              <w:bottom w:w="90" w:type="dxa"/>
              <w:right w:w="120" w:type="dxa"/>
            </w:tcMar>
          </w:tcPr>
          <w:p w14:paraId="0E1EF590" w14:textId="77777777" w:rsidR="00745820" w:rsidRDefault="008D109D">
            <w:r>
              <w:rPr>
                <w:rFonts w:ascii="Calibri" w:eastAsia="Calibri" w:hAnsi="Calibri" w:cs="Calibri"/>
                <w:b/>
                <w:bCs/>
                <w:color w:val="1A1A2E"/>
                <w:sz w:val="22"/>
                <w:szCs w:val="22"/>
              </w:rPr>
              <w:t>Building Size</w:t>
            </w:r>
          </w:p>
        </w:tc>
        <w:tc>
          <w:tcPr>
            <w:tcW w:w="3250" w:type="pct"/>
            <w:tcMar>
              <w:top w:w="90" w:type="dxa"/>
              <w:left w:w="120" w:type="dxa"/>
              <w:bottom w:w="90" w:type="dxa"/>
              <w:right w:w="120" w:type="dxa"/>
            </w:tcMar>
          </w:tcPr>
          <w:p w14:paraId="54BF56B9" w14:textId="77777777" w:rsidR="00745820" w:rsidRDefault="008D109D">
            <w:r>
              <w:rPr>
                <w:rFonts w:ascii="Calibri" w:eastAsia="Calibri" w:hAnsi="Calibri" w:cs="Calibri"/>
                <w:color w:val="1A1A2E"/>
                <w:sz w:val="20"/>
                <w:szCs w:val="20"/>
              </w:rPr>
              <w:t>5,389 Square Feet</w:t>
            </w:r>
          </w:p>
        </w:tc>
      </w:tr>
      <w:tr w:rsidR="00745820" w14:paraId="05E47C66" w14:textId="77777777">
        <w:tc>
          <w:tcPr>
            <w:tcW w:w="1750" w:type="pct"/>
            <w:tcMar>
              <w:top w:w="90" w:type="dxa"/>
              <w:left w:w="120" w:type="dxa"/>
              <w:bottom w:w="90" w:type="dxa"/>
              <w:right w:w="120" w:type="dxa"/>
            </w:tcMar>
          </w:tcPr>
          <w:p w14:paraId="78A0C523" w14:textId="77777777" w:rsidR="00745820" w:rsidRDefault="008D109D">
            <w:r>
              <w:rPr>
                <w:rFonts w:ascii="Calibri" w:eastAsia="Calibri" w:hAnsi="Calibri" w:cs="Calibri"/>
                <w:b/>
                <w:bCs/>
                <w:color w:val="1A1A2E"/>
                <w:sz w:val="22"/>
                <w:szCs w:val="22"/>
              </w:rPr>
              <w:t>Current Tenants</w:t>
            </w:r>
          </w:p>
        </w:tc>
        <w:tc>
          <w:tcPr>
            <w:tcW w:w="3250" w:type="pct"/>
            <w:tcMar>
              <w:top w:w="90" w:type="dxa"/>
              <w:left w:w="120" w:type="dxa"/>
              <w:bottom w:w="90" w:type="dxa"/>
              <w:right w:w="120" w:type="dxa"/>
            </w:tcMar>
          </w:tcPr>
          <w:p w14:paraId="4AB7BD42" w14:textId="77777777" w:rsidR="00745820" w:rsidRDefault="008D109D">
            <w:r>
              <w:rPr>
                <w:rFonts w:ascii="Calibri" w:eastAsia="Calibri" w:hAnsi="Calibri" w:cs="Calibri"/>
                <w:color w:val="1A1A2E"/>
                <w:sz w:val="20"/>
                <w:szCs w:val="20"/>
              </w:rPr>
              <w:t>Mixed Food &amp; Retail Marketplace</w:t>
            </w:r>
          </w:p>
        </w:tc>
      </w:tr>
      <w:tr w:rsidR="00745820" w14:paraId="2413C015" w14:textId="77777777">
        <w:tc>
          <w:tcPr>
            <w:tcW w:w="1750" w:type="pct"/>
            <w:tcMar>
              <w:top w:w="90" w:type="dxa"/>
              <w:left w:w="120" w:type="dxa"/>
              <w:bottom w:w="90" w:type="dxa"/>
              <w:right w:w="120" w:type="dxa"/>
            </w:tcMar>
          </w:tcPr>
          <w:p w14:paraId="29850C5A" w14:textId="77777777" w:rsidR="00745820" w:rsidRDefault="008D109D">
            <w:r>
              <w:rPr>
                <w:rFonts w:ascii="Calibri" w:eastAsia="Calibri" w:hAnsi="Calibri" w:cs="Calibri"/>
                <w:b/>
                <w:bCs/>
                <w:color w:val="1A1A2E"/>
                <w:sz w:val="22"/>
                <w:szCs w:val="22"/>
              </w:rPr>
              <w:t>Parking</w:t>
            </w:r>
          </w:p>
        </w:tc>
        <w:tc>
          <w:tcPr>
            <w:tcW w:w="3250" w:type="pct"/>
            <w:tcMar>
              <w:top w:w="90" w:type="dxa"/>
              <w:left w:w="120" w:type="dxa"/>
              <w:bottom w:w="90" w:type="dxa"/>
              <w:right w:w="120" w:type="dxa"/>
            </w:tcMar>
          </w:tcPr>
          <w:p w14:paraId="7037B47B" w14:textId="292E51DA" w:rsidR="00745820" w:rsidRDefault="004C27BD">
            <w:r>
              <w:rPr>
                <w:rFonts w:ascii="Calibri" w:eastAsia="Calibri" w:hAnsi="Calibri" w:cs="Calibri"/>
                <w:color w:val="1A1A2E"/>
                <w:sz w:val="20"/>
                <w:szCs w:val="20"/>
              </w:rPr>
              <w:t>14</w:t>
            </w:r>
            <w:r w:rsidR="008D109D">
              <w:rPr>
                <w:rFonts w:ascii="Calibri" w:eastAsia="Calibri" w:hAnsi="Calibri" w:cs="Calibri"/>
                <w:color w:val="1A1A2E"/>
                <w:sz w:val="20"/>
                <w:szCs w:val="20"/>
              </w:rPr>
              <w:t xml:space="preserve"> Shared Spaces (with 100 E. 4th Ave.)</w:t>
            </w:r>
          </w:p>
        </w:tc>
      </w:tr>
      <w:tr w:rsidR="00745820" w14:paraId="40980F24" w14:textId="77777777">
        <w:tc>
          <w:tcPr>
            <w:tcW w:w="1750" w:type="pct"/>
            <w:tcMar>
              <w:top w:w="90" w:type="dxa"/>
              <w:left w:w="120" w:type="dxa"/>
              <w:bottom w:w="90" w:type="dxa"/>
              <w:right w:w="120" w:type="dxa"/>
            </w:tcMar>
          </w:tcPr>
          <w:p w14:paraId="24BCA099" w14:textId="77777777" w:rsidR="00745820" w:rsidRDefault="008D109D">
            <w:r>
              <w:rPr>
                <w:rFonts w:ascii="Calibri" w:eastAsia="Calibri" w:hAnsi="Calibri" w:cs="Calibri"/>
                <w:b/>
                <w:bCs/>
                <w:color w:val="1A1A2E"/>
                <w:sz w:val="22"/>
                <w:szCs w:val="22"/>
              </w:rPr>
              <w:t>Campus Affiliation</w:t>
            </w:r>
          </w:p>
        </w:tc>
        <w:tc>
          <w:tcPr>
            <w:tcW w:w="3250" w:type="pct"/>
            <w:tcMar>
              <w:top w:w="90" w:type="dxa"/>
              <w:left w:w="120" w:type="dxa"/>
              <w:bottom w:w="90" w:type="dxa"/>
              <w:right w:w="120" w:type="dxa"/>
            </w:tcMar>
          </w:tcPr>
          <w:p w14:paraId="7369E58C" w14:textId="77777777" w:rsidR="00745820" w:rsidRDefault="008D109D">
            <w:r>
              <w:rPr>
                <w:rFonts w:ascii="Calibri" w:eastAsia="Calibri" w:hAnsi="Calibri" w:cs="Calibri"/>
                <w:color w:val="1A1A2E"/>
                <w:sz w:val="20"/>
                <w:szCs w:val="20"/>
              </w:rPr>
              <w:t>Experiential Campus</w:t>
            </w:r>
          </w:p>
        </w:tc>
      </w:tr>
    </w:tbl>
    <w:p w14:paraId="2489A57B" w14:textId="77777777" w:rsidR="00745820" w:rsidRDefault="00745820">
      <w:pPr>
        <w:spacing w:after="200"/>
      </w:pPr>
    </w:p>
    <w:p w14:paraId="4F9E2B83" w14:textId="77777777" w:rsidR="00745820" w:rsidRDefault="008D109D">
      <w:pPr>
        <w:spacing w:before="60" w:after="120" w:line="360" w:lineRule="auto"/>
      </w:pPr>
      <w:r>
        <w:rPr>
          <w:rFonts w:ascii="Calibri" w:eastAsia="Calibri" w:hAnsi="Calibri" w:cs="Calibri"/>
          <w:b/>
          <w:bCs/>
          <w:color w:val="1A1A2E"/>
          <w:sz w:val="22"/>
          <w:szCs w:val="22"/>
        </w:rPr>
        <w:t>334 N. Donnelly Street</w:t>
      </w:r>
      <w:r>
        <w:rPr>
          <w:rFonts w:ascii="Calibri" w:eastAsia="Calibri" w:hAnsi="Calibri" w:cs="Calibri"/>
          <w:color w:val="1A1A2E"/>
          <w:sz w:val="22"/>
          <w:szCs w:val="22"/>
        </w:rPr>
        <w:t xml:space="preserve"> is the largest building in the portfolio and serves as the daytime anchor of the Experiential Campus. Operating as a </w:t>
      </w:r>
      <w:r>
        <w:rPr>
          <w:rFonts w:ascii="Calibri" w:eastAsia="Calibri" w:hAnsi="Calibri" w:cs="Calibri"/>
          <w:b/>
          <w:bCs/>
          <w:color w:val="1A1A2E"/>
          <w:sz w:val="22"/>
          <w:szCs w:val="22"/>
        </w:rPr>
        <w:t>mixed food &amp; retail marketplace</w:t>
      </w:r>
      <w:r>
        <w:rPr>
          <w:rFonts w:ascii="Calibri" w:eastAsia="Calibri" w:hAnsi="Calibri" w:cs="Calibri"/>
          <w:color w:val="1A1A2E"/>
          <w:sz w:val="22"/>
          <w:szCs w:val="22"/>
        </w:rPr>
        <w:t>, the property combines artisanal food vendors with curated specialty retail in a marketplace format that has become one of the most sought-after retail typologies in the country.</w:t>
      </w:r>
    </w:p>
    <w:p w14:paraId="01F8138A" w14:textId="77777777" w:rsidR="00745820" w:rsidRDefault="008D109D">
      <w:pPr>
        <w:spacing w:before="60" w:after="120" w:line="360" w:lineRule="auto"/>
      </w:pPr>
      <w:r>
        <w:rPr>
          <w:rFonts w:ascii="Calibri" w:eastAsia="Calibri" w:hAnsi="Calibri" w:cs="Calibri"/>
          <w:color w:val="1A1A2E"/>
          <w:sz w:val="22"/>
          <w:szCs w:val="22"/>
        </w:rPr>
        <w:t>The marketplace format is inherently experiential — customers browse, sample, and discover rather than execute a transactional shopping mission. This browsing behavior drives extended dwell times and repeat visits, particularly among the tourism-oriented customer base that characterizes Downtown Mount Dora.</w:t>
      </w:r>
    </w:p>
    <w:p w14:paraId="25124B88" w14:textId="77777777" w:rsidR="00745820" w:rsidRDefault="008D109D">
      <w:pPr>
        <w:spacing w:before="60" w:after="120" w:line="360" w:lineRule="auto"/>
      </w:pPr>
      <w:r>
        <w:rPr>
          <w:rFonts w:ascii="Calibri" w:eastAsia="Calibri" w:hAnsi="Calibri" w:cs="Calibri"/>
          <w:color w:val="1A1A2E"/>
          <w:sz w:val="22"/>
          <w:szCs w:val="22"/>
        </w:rPr>
        <w:t xml:space="preserve">The daytime and browsing traffic generated by the marketplace complements the evening-oriented programming at 100 E. 4th Avenue, creating a </w:t>
      </w:r>
      <w:r>
        <w:rPr>
          <w:rFonts w:ascii="Calibri" w:eastAsia="Calibri" w:hAnsi="Calibri" w:cs="Calibri"/>
          <w:b/>
          <w:bCs/>
          <w:color w:val="1A1A2E"/>
          <w:sz w:val="22"/>
          <w:szCs w:val="22"/>
        </w:rPr>
        <w:t>synergistic traffic pattern</w:t>
      </w:r>
      <w:r>
        <w:rPr>
          <w:rFonts w:ascii="Calibri" w:eastAsia="Calibri" w:hAnsi="Calibri" w:cs="Calibri"/>
          <w:color w:val="1A1A2E"/>
          <w:sz w:val="22"/>
          <w:szCs w:val="22"/>
        </w:rPr>
        <w:t xml:space="preserve"> that maximizes the utility of the shared 21-space parking area and garden courtyard across all dayparts.</w:t>
      </w:r>
    </w:p>
    <w:p w14:paraId="49E8754D" w14:textId="77777777" w:rsidR="00745820" w:rsidRDefault="00745820">
      <w:pPr>
        <w:pBdr>
          <w:bottom w:val="single" w:sz="6" w:space="0" w:color="0A1628"/>
        </w:pBdr>
        <w:spacing w:before="240" w:after="240"/>
      </w:pPr>
    </w:p>
    <w:p w14:paraId="75E8F418" w14:textId="77777777" w:rsidR="00745820" w:rsidRDefault="008D109D">
      <w:pPr>
        <w:pStyle w:val="Heading2"/>
        <w:spacing w:before="360" w:after="120" w:line="312" w:lineRule="auto"/>
      </w:pPr>
      <w:r>
        <w:rPr>
          <w:rFonts w:ascii="Calibri" w:eastAsia="Calibri" w:hAnsi="Calibri" w:cs="Calibri"/>
          <w:color w:val="0A1628"/>
        </w:rPr>
        <w:t>Property 3: 351 N. Donnelly Street</w:t>
      </w:r>
    </w:p>
    <w:p w14:paraId="04E936DB" w14:textId="77777777" w:rsidR="00745820" w:rsidRDefault="00745820">
      <w:pPr>
        <w:spacing w:before="200"/>
      </w:pPr>
    </w:p>
    <w:tbl>
      <w:tblPr>
        <w:tblW w:w="5000" w:type="pct"/>
        <w:tblBorders>
          <w:top w:val="single" w:sz="4" w:space="0" w:color="E5E7EB"/>
          <w:left w:val="single" w:sz="4" w:space="0" w:color="E5E7EB"/>
          <w:bottom w:val="single" w:sz="4" w:space="0" w:color="E5E7EB"/>
          <w:right w:val="single" w:sz="4" w:space="0" w:color="E5E7EB"/>
          <w:insideH w:val="single" w:sz="4" w:space="0" w:color="E5E7EB"/>
          <w:insideV w:val="single" w:sz="4" w:space="0" w:color="E5E7EB"/>
        </w:tblBorders>
        <w:tblCellMar>
          <w:left w:w="10" w:type="dxa"/>
          <w:right w:w="10" w:type="dxa"/>
        </w:tblCellMar>
        <w:tblLook w:val="04A0" w:firstRow="1" w:lastRow="0" w:firstColumn="1" w:lastColumn="0" w:noHBand="0" w:noVBand="1"/>
      </w:tblPr>
      <w:tblGrid>
        <w:gridCol w:w="2618"/>
        <w:gridCol w:w="6732"/>
      </w:tblGrid>
      <w:tr w:rsidR="00745820" w14:paraId="3E3F3F92" w14:textId="77777777">
        <w:trPr>
          <w:tblHeader/>
        </w:trPr>
        <w:tc>
          <w:tcPr>
            <w:tcW w:w="1400" w:type="pct"/>
            <w:shd w:val="clear" w:color="auto" w:fill="0A1628"/>
            <w:tcMar>
              <w:top w:w="90" w:type="dxa"/>
              <w:left w:w="120" w:type="dxa"/>
              <w:bottom w:w="90" w:type="dxa"/>
              <w:right w:w="120" w:type="dxa"/>
            </w:tcMar>
          </w:tcPr>
          <w:p w14:paraId="01EA2609" w14:textId="77777777" w:rsidR="00745820" w:rsidRDefault="008D109D">
            <w:r>
              <w:rPr>
                <w:rFonts w:ascii="Calibri" w:eastAsia="Calibri" w:hAnsi="Calibri" w:cs="Calibri"/>
                <w:b/>
                <w:bCs/>
                <w:color w:val="FFFFFF"/>
                <w:spacing w:val="8"/>
                <w:sz w:val="20"/>
                <w:szCs w:val="20"/>
              </w:rPr>
              <w:t>Attribute</w:t>
            </w:r>
          </w:p>
        </w:tc>
        <w:tc>
          <w:tcPr>
            <w:tcW w:w="3600" w:type="pct"/>
            <w:shd w:val="clear" w:color="auto" w:fill="0A1628"/>
            <w:tcMar>
              <w:top w:w="90" w:type="dxa"/>
              <w:left w:w="120" w:type="dxa"/>
              <w:bottom w:w="90" w:type="dxa"/>
              <w:right w:w="120" w:type="dxa"/>
            </w:tcMar>
          </w:tcPr>
          <w:p w14:paraId="0EC1DCC6" w14:textId="77777777" w:rsidR="00745820" w:rsidRDefault="008D109D">
            <w:r>
              <w:rPr>
                <w:rFonts w:ascii="Calibri" w:eastAsia="Calibri" w:hAnsi="Calibri" w:cs="Calibri"/>
                <w:b/>
                <w:bCs/>
                <w:color w:val="FFFFFF"/>
                <w:spacing w:val="8"/>
                <w:sz w:val="20"/>
                <w:szCs w:val="20"/>
              </w:rPr>
              <w:t>Detail</w:t>
            </w:r>
          </w:p>
        </w:tc>
      </w:tr>
      <w:tr w:rsidR="00745820" w14:paraId="3C627107" w14:textId="77777777">
        <w:tc>
          <w:tcPr>
            <w:tcW w:w="1400" w:type="pct"/>
            <w:tcMar>
              <w:top w:w="90" w:type="dxa"/>
              <w:left w:w="120" w:type="dxa"/>
              <w:bottom w:w="90" w:type="dxa"/>
              <w:right w:w="120" w:type="dxa"/>
            </w:tcMar>
          </w:tcPr>
          <w:p w14:paraId="1B7691E4" w14:textId="77777777" w:rsidR="00745820" w:rsidRDefault="008D109D">
            <w:r>
              <w:rPr>
                <w:rFonts w:ascii="Calibri" w:eastAsia="Calibri" w:hAnsi="Calibri" w:cs="Calibri"/>
                <w:b/>
                <w:bCs/>
                <w:color w:val="1A1A2E"/>
                <w:sz w:val="22"/>
                <w:szCs w:val="22"/>
              </w:rPr>
              <w:t>Address</w:t>
            </w:r>
          </w:p>
        </w:tc>
        <w:tc>
          <w:tcPr>
            <w:tcW w:w="3600" w:type="pct"/>
            <w:tcMar>
              <w:top w:w="90" w:type="dxa"/>
              <w:left w:w="120" w:type="dxa"/>
              <w:bottom w:w="90" w:type="dxa"/>
              <w:right w:w="120" w:type="dxa"/>
            </w:tcMar>
          </w:tcPr>
          <w:p w14:paraId="2EC7A71B" w14:textId="77777777" w:rsidR="00745820" w:rsidRDefault="008D109D">
            <w:r>
              <w:rPr>
                <w:rFonts w:ascii="Calibri" w:eastAsia="Calibri" w:hAnsi="Calibri" w:cs="Calibri"/>
                <w:color w:val="1A1A2E"/>
                <w:sz w:val="20"/>
                <w:szCs w:val="20"/>
              </w:rPr>
              <w:t>351 N. Donnelly Street, Mount Dora, FL</w:t>
            </w:r>
          </w:p>
        </w:tc>
      </w:tr>
      <w:tr w:rsidR="00745820" w14:paraId="16218947" w14:textId="77777777">
        <w:tc>
          <w:tcPr>
            <w:tcW w:w="1400" w:type="pct"/>
            <w:tcMar>
              <w:top w:w="90" w:type="dxa"/>
              <w:left w:w="120" w:type="dxa"/>
              <w:bottom w:w="90" w:type="dxa"/>
              <w:right w:w="120" w:type="dxa"/>
            </w:tcMar>
          </w:tcPr>
          <w:p w14:paraId="2796F88E" w14:textId="77777777" w:rsidR="00745820" w:rsidRDefault="008D109D">
            <w:r>
              <w:rPr>
                <w:rFonts w:ascii="Calibri" w:eastAsia="Calibri" w:hAnsi="Calibri" w:cs="Calibri"/>
                <w:b/>
                <w:bCs/>
                <w:color w:val="1A1A2E"/>
                <w:sz w:val="22"/>
                <w:szCs w:val="22"/>
              </w:rPr>
              <w:t>Building Size</w:t>
            </w:r>
          </w:p>
        </w:tc>
        <w:tc>
          <w:tcPr>
            <w:tcW w:w="3600" w:type="pct"/>
            <w:tcMar>
              <w:top w:w="90" w:type="dxa"/>
              <w:left w:w="120" w:type="dxa"/>
              <w:bottom w:w="90" w:type="dxa"/>
              <w:right w:w="120" w:type="dxa"/>
            </w:tcMar>
          </w:tcPr>
          <w:p w14:paraId="65CA1F59" w14:textId="77777777" w:rsidR="00745820" w:rsidRDefault="008D109D">
            <w:r>
              <w:rPr>
                <w:rFonts w:ascii="Calibri" w:eastAsia="Calibri" w:hAnsi="Calibri" w:cs="Calibri"/>
                <w:color w:val="1A1A2E"/>
                <w:sz w:val="20"/>
                <w:szCs w:val="20"/>
              </w:rPr>
              <w:t>4,500 Square Feet</w:t>
            </w:r>
          </w:p>
        </w:tc>
      </w:tr>
      <w:tr w:rsidR="00745820" w14:paraId="31034747" w14:textId="77777777">
        <w:tc>
          <w:tcPr>
            <w:tcW w:w="1400" w:type="pct"/>
            <w:tcMar>
              <w:top w:w="90" w:type="dxa"/>
              <w:left w:w="120" w:type="dxa"/>
              <w:bottom w:w="90" w:type="dxa"/>
              <w:right w:w="120" w:type="dxa"/>
            </w:tcMar>
          </w:tcPr>
          <w:p w14:paraId="1F9C2A82" w14:textId="77777777" w:rsidR="00745820" w:rsidRDefault="008D109D">
            <w:r>
              <w:rPr>
                <w:rFonts w:ascii="Calibri" w:eastAsia="Calibri" w:hAnsi="Calibri" w:cs="Calibri"/>
                <w:b/>
                <w:bCs/>
                <w:color w:val="1A1A2E"/>
                <w:sz w:val="22"/>
                <w:szCs w:val="22"/>
              </w:rPr>
              <w:t>Current Tenants</w:t>
            </w:r>
          </w:p>
        </w:tc>
        <w:tc>
          <w:tcPr>
            <w:tcW w:w="3600" w:type="pct"/>
            <w:tcMar>
              <w:top w:w="90" w:type="dxa"/>
              <w:left w:w="120" w:type="dxa"/>
              <w:bottom w:w="90" w:type="dxa"/>
              <w:right w:w="120" w:type="dxa"/>
            </w:tcMar>
          </w:tcPr>
          <w:p w14:paraId="45177C2B" w14:textId="77777777" w:rsidR="00745820" w:rsidRDefault="008D109D">
            <w:r>
              <w:rPr>
                <w:rFonts w:ascii="Calibri" w:eastAsia="Calibri" w:hAnsi="Calibri" w:cs="Calibri"/>
                <w:color w:val="1A1A2E"/>
                <w:sz w:val="20"/>
                <w:szCs w:val="20"/>
              </w:rPr>
              <w:t>Cuban Restaurant, Olive Oil Shop, Jewelry Store</w:t>
            </w:r>
          </w:p>
        </w:tc>
      </w:tr>
      <w:tr w:rsidR="00745820" w14:paraId="3D70751C" w14:textId="77777777">
        <w:tc>
          <w:tcPr>
            <w:tcW w:w="1400" w:type="pct"/>
            <w:tcMar>
              <w:top w:w="90" w:type="dxa"/>
              <w:left w:w="120" w:type="dxa"/>
              <w:bottom w:w="90" w:type="dxa"/>
              <w:right w:w="120" w:type="dxa"/>
            </w:tcMar>
          </w:tcPr>
          <w:p w14:paraId="65D23779" w14:textId="77777777" w:rsidR="00745820" w:rsidRDefault="008D109D">
            <w:r>
              <w:rPr>
                <w:rFonts w:ascii="Calibri" w:eastAsia="Calibri" w:hAnsi="Calibri" w:cs="Calibri"/>
                <w:b/>
                <w:bCs/>
                <w:color w:val="1A1A2E"/>
                <w:sz w:val="22"/>
                <w:szCs w:val="22"/>
              </w:rPr>
              <w:t>Parking</w:t>
            </w:r>
          </w:p>
        </w:tc>
        <w:tc>
          <w:tcPr>
            <w:tcW w:w="3600" w:type="pct"/>
            <w:tcMar>
              <w:top w:w="90" w:type="dxa"/>
              <w:left w:w="120" w:type="dxa"/>
              <w:bottom w:w="90" w:type="dxa"/>
              <w:right w:w="120" w:type="dxa"/>
            </w:tcMar>
          </w:tcPr>
          <w:p w14:paraId="4CA6FE23" w14:textId="77777777" w:rsidR="00745820" w:rsidRDefault="008D109D">
            <w:r>
              <w:rPr>
                <w:rFonts w:ascii="Calibri" w:eastAsia="Calibri" w:hAnsi="Calibri" w:cs="Calibri"/>
                <w:color w:val="1A1A2E"/>
                <w:sz w:val="20"/>
                <w:szCs w:val="20"/>
              </w:rPr>
              <w:t>Downtown Public Parking / Street</w:t>
            </w:r>
          </w:p>
        </w:tc>
      </w:tr>
    </w:tbl>
    <w:p w14:paraId="1E497855" w14:textId="77777777" w:rsidR="00745820" w:rsidRDefault="00745820">
      <w:pPr>
        <w:spacing w:after="200"/>
      </w:pPr>
    </w:p>
    <w:p w14:paraId="039A2176" w14:textId="77777777" w:rsidR="00745820" w:rsidRDefault="008D109D">
      <w:pPr>
        <w:spacing w:before="60" w:after="120" w:line="360" w:lineRule="auto"/>
      </w:pPr>
      <w:r>
        <w:rPr>
          <w:rFonts w:ascii="Calibri" w:eastAsia="Calibri" w:hAnsi="Calibri" w:cs="Calibri"/>
          <w:b/>
          <w:bCs/>
          <w:color w:val="1A1A2E"/>
          <w:sz w:val="22"/>
          <w:szCs w:val="22"/>
        </w:rPr>
        <w:t>351 N. Donnelly Street</w:t>
      </w:r>
      <w:r>
        <w:rPr>
          <w:rFonts w:ascii="Calibri" w:eastAsia="Calibri" w:hAnsi="Calibri" w:cs="Calibri"/>
          <w:color w:val="1A1A2E"/>
          <w:sz w:val="22"/>
          <w:szCs w:val="22"/>
        </w:rPr>
        <w:t xml:space="preserve"> sits on </w:t>
      </w:r>
      <w:r>
        <w:rPr>
          <w:rFonts w:ascii="Calibri" w:eastAsia="Calibri" w:hAnsi="Calibri" w:cs="Calibri"/>
          <w:b/>
          <w:bCs/>
          <w:color w:val="1A1A2E"/>
          <w:sz w:val="22"/>
          <w:szCs w:val="22"/>
        </w:rPr>
        <w:t>Donnelly Street — the primary commercial corridor</w:t>
      </w:r>
      <w:r>
        <w:rPr>
          <w:rFonts w:ascii="Calibri" w:eastAsia="Calibri" w:hAnsi="Calibri" w:cs="Calibri"/>
          <w:color w:val="1A1A2E"/>
          <w:sz w:val="22"/>
          <w:szCs w:val="22"/>
        </w:rPr>
        <w:t xml:space="preserve"> of Downtown Mount Dora — and houses a diverse tenant mix spanning dining and specialty retail: a Cuban restaurant, an olive oil shop, and a jewelry store.</w:t>
      </w:r>
    </w:p>
    <w:p w14:paraId="4B025168" w14:textId="77777777" w:rsidR="00745820" w:rsidRDefault="008D109D">
      <w:pPr>
        <w:spacing w:before="60" w:after="120" w:line="360" w:lineRule="auto"/>
      </w:pPr>
      <w:r>
        <w:rPr>
          <w:rFonts w:ascii="Calibri" w:eastAsia="Calibri" w:hAnsi="Calibri" w:cs="Calibri"/>
          <w:color w:val="1A1A2E"/>
          <w:sz w:val="22"/>
          <w:szCs w:val="22"/>
        </w:rPr>
        <w:t xml:space="preserve">This tenant composition provides </w:t>
      </w:r>
      <w:r>
        <w:rPr>
          <w:rFonts w:ascii="Calibri" w:eastAsia="Calibri" w:hAnsi="Calibri" w:cs="Calibri"/>
          <w:b/>
          <w:bCs/>
          <w:color w:val="1A1A2E"/>
          <w:sz w:val="22"/>
          <w:szCs w:val="22"/>
        </w:rPr>
        <w:t>three distinct revenue streams</w:t>
      </w:r>
      <w:r>
        <w:rPr>
          <w:rFonts w:ascii="Calibri" w:eastAsia="Calibri" w:hAnsi="Calibri" w:cs="Calibri"/>
          <w:color w:val="1A1A2E"/>
          <w:sz w:val="22"/>
          <w:szCs w:val="22"/>
        </w:rPr>
        <w:t xml:space="preserve"> from independent operators, each serving a different customer segment and purchasing occasion. The Cuban restaurant drives foot traffic for both lunch and dinner service, the olive oil shop attracts the culinary-tourism demographic that is core to Mount Dora’s visitor profile, and the jewelry store captures higher-ticket discretionary spending.</w:t>
      </w:r>
    </w:p>
    <w:p w14:paraId="32F9DCB2" w14:textId="77777777" w:rsidR="00745820" w:rsidRDefault="008D109D">
      <w:pPr>
        <w:spacing w:before="60" w:after="120" w:line="360" w:lineRule="auto"/>
      </w:pPr>
      <w:r>
        <w:rPr>
          <w:rFonts w:ascii="Calibri" w:eastAsia="Calibri" w:hAnsi="Calibri" w:cs="Calibri"/>
          <w:color w:val="1A1A2E"/>
          <w:sz w:val="22"/>
          <w:szCs w:val="22"/>
        </w:rPr>
        <w:t>The property’s Donnelly Street frontage ensures maximum visibility and pedestrian exposure, particularly during Mount Dora’s major festivals and events, which routinely draw tens of thousands of visitors to the downtown core.</w:t>
      </w:r>
    </w:p>
    <w:p w14:paraId="3694714E" w14:textId="77777777" w:rsidR="00745820" w:rsidRDefault="00745820">
      <w:pPr>
        <w:pBdr>
          <w:bottom w:val="single" w:sz="6" w:space="0" w:color="0A1628"/>
        </w:pBdr>
        <w:spacing w:before="240" w:after="240"/>
      </w:pPr>
    </w:p>
    <w:p w14:paraId="77CB929A" w14:textId="77777777" w:rsidR="00745820" w:rsidRDefault="008D109D">
      <w:pPr>
        <w:pStyle w:val="Heading2"/>
        <w:spacing w:before="360" w:after="120" w:line="312" w:lineRule="auto"/>
      </w:pPr>
      <w:r>
        <w:rPr>
          <w:rFonts w:ascii="Calibri" w:eastAsia="Calibri" w:hAnsi="Calibri" w:cs="Calibri"/>
          <w:color w:val="0A1628"/>
        </w:rPr>
        <w:t>Property 4: 851 N. Donnelly Street</w:t>
      </w:r>
    </w:p>
    <w:p w14:paraId="57C412E8" w14:textId="77777777" w:rsidR="00745820" w:rsidRDefault="00745820">
      <w:pPr>
        <w:spacing w:before="200"/>
      </w:pPr>
    </w:p>
    <w:tbl>
      <w:tblPr>
        <w:tblW w:w="5000" w:type="pct"/>
        <w:tblBorders>
          <w:top w:val="single" w:sz="4" w:space="0" w:color="E5E7EB"/>
          <w:left w:val="single" w:sz="4" w:space="0" w:color="E5E7EB"/>
          <w:bottom w:val="single" w:sz="4" w:space="0" w:color="E5E7EB"/>
          <w:right w:val="single" w:sz="4" w:space="0" w:color="E5E7EB"/>
          <w:insideH w:val="single" w:sz="4" w:space="0" w:color="E5E7EB"/>
          <w:insideV w:val="single" w:sz="4" w:space="0" w:color="E5E7EB"/>
        </w:tblBorders>
        <w:tblCellMar>
          <w:left w:w="10" w:type="dxa"/>
          <w:right w:w="10" w:type="dxa"/>
        </w:tblCellMar>
        <w:tblLook w:val="04A0" w:firstRow="1" w:lastRow="0" w:firstColumn="1" w:lastColumn="0" w:noHBand="0" w:noVBand="1"/>
      </w:tblPr>
      <w:tblGrid>
        <w:gridCol w:w="2711"/>
        <w:gridCol w:w="6639"/>
      </w:tblGrid>
      <w:tr w:rsidR="00745820" w14:paraId="6570EDD1" w14:textId="77777777">
        <w:trPr>
          <w:tblHeader/>
        </w:trPr>
        <w:tc>
          <w:tcPr>
            <w:tcW w:w="1450" w:type="pct"/>
            <w:shd w:val="clear" w:color="auto" w:fill="0A1628"/>
            <w:tcMar>
              <w:top w:w="90" w:type="dxa"/>
              <w:left w:w="120" w:type="dxa"/>
              <w:bottom w:w="90" w:type="dxa"/>
              <w:right w:w="120" w:type="dxa"/>
            </w:tcMar>
          </w:tcPr>
          <w:p w14:paraId="18163CF4" w14:textId="77777777" w:rsidR="00745820" w:rsidRDefault="008D109D">
            <w:r>
              <w:rPr>
                <w:rFonts w:ascii="Calibri" w:eastAsia="Calibri" w:hAnsi="Calibri" w:cs="Calibri"/>
                <w:b/>
                <w:bCs/>
                <w:color w:val="FFFFFF"/>
                <w:spacing w:val="8"/>
                <w:sz w:val="20"/>
                <w:szCs w:val="20"/>
              </w:rPr>
              <w:t>Attribute</w:t>
            </w:r>
          </w:p>
        </w:tc>
        <w:tc>
          <w:tcPr>
            <w:tcW w:w="3550" w:type="pct"/>
            <w:shd w:val="clear" w:color="auto" w:fill="0A1628"/>
            <w:tcMar>
              <w:top w:w="90" w:type="dxa"/>
              <w:left w:w="120" w:type="dxa"/>
              <w:bottom w:w="90" w:type="dxa"/>
              <w:right w:w="120" w:type="dxa"/>
            </w:tcMar>
          </w:tcPr>
          <w:p w14:paraId="282D1AFC" w14:textId="77777777" w:rsidR="00745820" w:rsidRDefault="008D109D">
            <w:r>
              <w:rPr>
                <w:rFonts w:ascii="Calibri" w:eastAsia="Calibri" w:hAnsi="Calibri" w:cs="Calibri"/>
                <w:b/>
                <w:bCs/>
                <w:color w:val="FFFFFF"/>
                <w:spacing w:val="8"/>
                <w:sz w:val="20"/>
                <w:szCs w:val="20"/>
              </w:rPr>
              <w:t>Detail</w:t>
            </w:r>
          </w:p>
        </w:tc>
      </w:tr>
      <w:tr w:rsidR="00745820" w14:paraId="327485B2" w14:textId="77777777">
        <w:tc>
          <w:tcPr>
            <w:tcW w:w="1450" w:type="pct"/>
            <w:tcMar>
              <w:top w:w="90" w:type="dxa"/>
              <w:left w:w="120" w:type="dxa"/>
              <w:bottom w:w="90" w:type="dxa"/>
              <w:right w:w="120" w:type="dxa"/>
            </w:tcMar>
          </w:tcPr>
          <w:p w14:paraId="38605493" w14:textId="77777777" w:rsidR="00745820" w:rsidRDefault="008D109D">
            <w:r>
              <w:rPr>
                <w:rFonts w:ascii="Calibri" w:eastAsia="Calibri" w:hAnsi="Calibri" w:cs="Calibri"/>
                <w:b/>
                <w:bCs/>
                <w:color w:val="1A1A2E"/>
                <w:sz w:val="22"/>
                <w:szCs w:val="22"/>
              </w:rPr>
              <w:t>Address</w:t>
            </w:r>
          </w:p>
        </w:tc>
        <w:tc>
          <w:tcPr>
            <w:tcW w:w="3550" w:type="pct"/>
            <w:tcMar>
              <w:top w:w="90" w:type="dxa"/>
              <w:left w:w="120" w:type="dxa"/>
              <w:bottom w:w="90" w:type="dxa"/>
              <w:right w:w="120" w:type="dxa"/>
            </w:tcMar>
          </w:tcPr>
          <w:p w14:paraId="62996996" w14:textId="77777777" w:rsidR="00745820" w:rsidRDefault="008D109D">
            <w:r>
              <w:rPr>
                <w:rFonts w:ascii="Calibri" w:eastAsia="Calibri" w:hAnsi="Calibri" w:cs="Calibri"/>
                <w:color w:val="1A1A2E"/>
                <w:sz w:val="20"/>
                <w:szCs w:val="20"/>
              </w:rPr>
              <w:t>851 N. Donnelly Street, Mount Dora, FL</w:t>
            </w:r>
          </w:p>
        </w:tc>
      </w:tr>
      <w:tr w:rsidR="00745820" w14:paraId="6E7CB3B7" w14:textId="77777777">
        <w:tc>
          <w:tcPr>
            <w:tcW w:w="1450" w:type="pct"/>
            <w:tcMar>
              <w:top w:w="90" w:type="dxa"/>
              <w:left w:w="120" w:type="dxa"/>
              <w:bottom w:w="90" w:type="dxa"/>
              <w:right w:w="120" w:type="dxa"/>
            </w:tcMar>
          </w:tcPr>
          <w:p w14:paraId="3B39CE36" w14:textId="77777777" w:rsidR="00745820" w:rsidRDefault="008D109D">
            <w:r>
              <w:rPr>
                <w:rFonts w:ascii="Calibri" w:eastAsia="Calibri" w:hAnsi="Calibri" w:cs="Calibri"/>
                <w:b/>
                <w:bCs/>
                <w:color w:val="1A1A2E"/>
                <w:sz w:val="22"/>
                <w:szCs w:val="22"/>
              </w:rPr>
              <w:t>Building Size</w:t>
            </w:r>
          </w:p>
        </w:tc>
        <w:tc>
          <w:tcPr>
            <w:tcW w:w="3550" w:type="pct"/>
            <w:tcMar>
              <w:top w:w="90" w:type="dxa"/>
              <w:left w:w="120" w:type="dxa"/>
              <w:bottom w:w="90" w:type="dxa"/>
              <w:right w:w="120" w:type="dxa"/>
            </w:tcMar>
          </w:tcPr>
          <w:p w14:paraId="33A8D193" w14:textId="77777777" w:rsidR="00745820" w:rsidRDefault="008D109D">
            <w:r>
              <w:rPr>
                <w:rFonts w:ascii="Calibri" w:eastAsia="Calibri" w:hAnsi="Calibri" w:cs="Calibri"/>
                <w:color w:val="1A1A2E"/>
                <w:sz w:val="20"/>
                <w:szCs w:val="20"/>
              </w:rPr>
              <w:t>3,560 Square Feet</w:t>
            </w:r>
          </w:p>
        </w:tc>
      </w:tr>
      <w:tr w:rsidR="00745820" w14:paraId="5550CB08" w14:textId="77777777">
        <w:tc>
          <w:tcPr>
            <w:tcW w:w="1450" w:type="pct"/>
            <w:tcMar>
              <w:top w:w="90" w:type="dxa"/>
              <w:left w:w="120" w:type="dxa"/>
              <w:bottom w:w="90" w:type="dxa"/>
              <w:right w:w="120" w:type="dxa"/>
            </w:tcMar>
          </w:tcPr>
          <w:p w14:paraId="41075FFA" w14:textId="77777777" w:rsidR="00745820" w:rsidRDefault="008D109D">
            <w:r>
              <w:rPr>
                <w:rFonts w:ascii="Calibri" w:eastAsia="Calibri" w:hAnsi="Calibri" w:cs="Calibri"/>
                <w:b/>
                <w:bCs/>
                <w:color w:val="1A1A2E"/>
                <w:sz w:val="22"/>
                <w:szCs w:val="22"/>
              </w:rPr>
              <w:t>Current Use</w:t>
            </w:r>
          </w:p>
        </w:tc>
        <w:tc>
          <w:tcPr>
            <w:tcW w:w="3550" w:type="pct"/>
            <w:tcMar>
              <w:top w:w="90" w:type="dxa"/>
              <w:left w:w="120" w:type="dxa"/>
              <w:bottom w:w="90" w:type="dxa"/>
              <w:right w:w="120" w:type="dxa"/>
            </w:tcMar>
          </w:tcPr>
          <w:p w14:paraId="52F9D442" w14:textId="77777777" w:rsidR="00745820" w:rsidRDefault="008D109D">
            <w:r>
              <w:rPr>
                <w:rFonts w:ascii="Calibri" w:eastAsia="Calibri" w:hAnsi="Calibri" w:cs="Calibri"/>
                <w:color w:val="1A1A2E"/>
                <w:sz w:val="20"/>
                <w:szCs w:val="20"/>
              </w:rPr>
              <w:t>Professional Office Building</w:t>
            </w:r>
          </w:p>
        </w:tc>
      </w:tr>
      <w:tr w:rsidR="00745820" w14:paraId="3919D5A0" w14:textId="77777777">
        <w:tc>
          <w:tcPr>
            <w:tcW w:w="1450" w:type="pct"/>
            <w:tcMar>
              <w:top w:w="90" w:type="dxa"/>
              <w:left w:w="120" w:type="dxa"/>
              <w:bottom w:w="90" w:type="dxa"/>
              <w:right w:w="120" w:type="dxa"/>
            </w:tcMar>
          </w:tcPr>
          <w:p w14:paraId="1789D0B1" w14:textId="77777777" w:rsidR="00745820" w:rsidRDefault="008D109D">
            <w:r>
              <w:rPr>
                <w:rFonts w:ascii="Calibri" w:eastAsia="Calibri" w:hAnsi="Calibri" w:cs="Calibri"/>
                <w:b/>
                <w:bCs/>
                <w:color w:val="1A1A2E"/>
                <w:sz w:val="22"/>
                <w:szCs w:val="22"/>
              </w:rPr>
              <w:t>Parking</w:t>
            </w:r>
          </w:p>
        </w:tc>
        <w:tc>
          <w:tcPr>
            <w:tcW w:w="3550" w:type="pct"/>
            <w:tcMar>
              <w:top w:w="90" w:type="dxa"/>
              <w:left w:w="120" w:type="dxa"/>
              <w:bottom w:w="90" w:type="dxa"/>
              <w:right w:w="120" w:type="dxa"/>
            </w:tcMar>
          </w:tcPr>
          <w:p w14:paraId="1D17E787" w14:textId="77777777" w:rsidR="00745820" w:rsidRDefault="008D109D">
            <w:r>
              <w:rPr>
                <w:rFonts w:ascii="Calibri" w:eastAsia="Calibri" w:hAnsi="Calibri" w:cs="Calibri"/>
                <w:color w:val="1A1A2E"/>
                <w:sz w:val="20"/>
                <w:szCs w:val="20"/>
              </w:rPr>
              <w:t>17 Dedicated Spaces</w:t>
            </w:r>
          </w:p>
        </w:tc>
      </w:tr>
    </w:tbl>
    <w:p w14:paraId="2F251BB7" w14:textId="77777777" w:rsidR="00745820" w:rsidRDefault="00745820">
      <w:pPr>
        <w:spacing w:after="200"/>
      </w:pPr>
    </w:p>
    <w:p w14:paraId="3DA504FC" w14:textId="77777777" w:rsidR="00745820" w:rsidRDefault="008D109D">
      <w:pPr>
        <w:spacing w:before="60" w:after="120" w:line="360" w:lineRule="auto"/>
      </w:pPr>
      <w:r>
        <w:rPr>
          <w:rFonts w:ascii="Calibri" w:eastAsia="Calibri" w:hAnsi="Calibri" w:cs="Calibri"/>
          <w:b/>
          <w:bCs/>
          <w:color w:val="1A1A2E"/>
          <w:sz w:val="22"/>
          <w:szCs w:val="22"/>
        </w:rPr>
        <w:t>851 N. Donnelly Street</w:t>
      </w:r>
      <w:r>
        <w:rPr>
          <w:rFonts w:ascii="Calibri" w:eastAsia="Calibri" w:hAnsi="Calibri" w:cs="Calibri"/>
          <w:color w:val="1A1A2E"/>
          <w:sz w:val="22"/>
          <w:szCs w:val="22"/>
        </w:rPr>
        <w:t xml:space="preserve"> is a professional office building that provides critical </w:t>
      </w:r>
      <w:r>
        <w:rPr>
          <w:rFonts w:ascii="Calibri" w:eastAsia="Calibri" w:hAnsi="Calibri" w:cs="Calibri"/>
          <w:b/>
          <w:bCs/>
          <w:color w:val="1A1A2E"/>
          <w:sz w:val="22"/>
          <w:szCs w:val="22"/>
        </w:rPr>
        <w:t>portfolio diversification</w:t>
      </w:r>
      <w:r>
        <w:rPr>
          <w:rFonts w:ascii="Calibri" w:eastAsia="Calibri" w:hAnsi="Calibri" w:cs="Calibri"/>
          <w:color w:val="1A1A2E"/>
          <w:sz w:val="22"/>
          <w:szCs w:val="22"/>
        </w:rPr>
        <w:t xml:space="preserve"> away from the food &amp; beverage and retail uses that characterize the other three properties. The building generates a </w:t>
      </w:r>
      <w:r>
        <w:rPr>
          <w:rFonts w:ascii="Calibri" w:eastAsia="Calibri" w:hAnsi="Calibri" w:cs="Calibri"/>
          <w:b/>
          <w:bCs/>
          <w:color w:val="1A1A2E"/>
          <w:sz w:val="22"/>
          <w:szCs w:val="22"/>
        </w:rPr>
        <w:t>stable professional services income stream</w:t>
      </w:r>
      <w:r>
        <w:rPr>
          <w:rFonts w:ascii="Calibri" w:eastAsia="Calibri" w:hAnsi="Calibri" w:cs="Calibri"/>
          <w:color w:val="1A1A2E"/>
          <w:sz w:val="22"/>
          <w:szCs w:val="22"/>
        </w:rPr>
        <w:t xml:space="preserve"> that is less sensitive to tourism seasonality and consumer discretionary spending cycles.</w:t>
      </w:r>
    </w:p>
    <w:p w14:paraId="7EBD18A7" w14:textId="77777777" w:rsidR="00745820" w:rsidRDefault="008D109D">
      <w:pPr>
        <w:spacing w:before="60" w:after="120" w:line="360" w:lineRule="auto"/>
      </w:pPr>
      <w:r>
        <w:rPr>
          <w:rFonts w:ascii="Calibri" w:eastAsia="Calibri" w:hAnsi="Calibri" w:cs="Calibri"/>
          <w:color w:val="1A1A2E"/>
          <w:sz w:val="22"/>
          <w:szCs w:val="22"/>
        </w:rPr>
        <w:t xml:space="preserve">With </w:t>
      </w:r>
      <w:r>
        <w:rPr>
          <w:rFonts w:ascii="Calibri" w:eastAsia="Calibri" w:hAnsi="Calibri" w:cs="Calibri"/>
          <w:b/>
          <w:bCs/>
          <w:color w:val="1A1A2E"/>
          <w:sz w:val="22"/>
          <w:szCs w:val="22"/>
        </w:rPr>
        <w:t>17 dedicated parking spaces</w:t>
      </w:r>
      <w:r>
        <w:rPr>
          <w:rFonts w:ascii="Calibri" w:eastAsia="Calibri" w:hAnsi="Calibri" w:cs="Calibri"/>
          <w:color w:val="1A1A2E"/>
          <w:sz w:val="22"/>
          <w:szCs w:val="22"/>
        </w:rPr>
        <w:t>, this property carries the highest parking ratio in the portfolio at approximately one space per 209 square feet — a significant competitive advantage for office use in a downtown environment where parking is at a premium.</w:t>
      </w:r>
    </w:p>
    <w:p w14:paraId="3767A818" w14:textId="77777777" w:rsidR="00745820" w:rsidRDefault="008D109D">
      <w:pPr>
        <w:spacing w:before="60" w:after="120" w:line="360" w:lineRule="auto"/>
      </w:pPr>
      <w:r>
        <w:rPr>
          <w:rFonts w:ascii="Calibri" w:eastAsia="Calibri" w:hAnsi="Calibri" w:cs="Calibri"/>
          <w:color w:val="1A1A2E"/>
          <w:sz w:val="22"/>
          <w:szCs w:val="22"/>
        </w:rPr>
        <w:t xml:space="preserve">The property also presents a </w:t>
      </w:r>
      <w:r>
        <w:rPr>
          <w:rFonts w:ascii="Calibri" w:eastAsia="Calibri" w:hAnsi="Calibri" w:cs="Calibri"/>
          <w:b/>
          <w:bCs/>
          <w:color w:val="1A1A2E"/>
          <w:sz w:val="22"/>
          <w:szCs w:val="22"/>
        </w:rPr>
        <w:t>value-add opportunity</w:t>
      </w:r>
      <w:r>
        <w:rPr>
          <w:rFonts w:ascii="Calibri" w:eastAsia="Calibri" w:hAnsi="Calibri" w:cs="Calibri"/>
          <w:color w:val="1A1A2E"/>
          <w:sz w:val="22"/>
          <w:szCs w:val="22"/>
        </w:rPr>
        <w:t>: should market conditions warrant, the building could be repositioned for mixed-use or additional retail/F&amp;B conversion, capitalizing on the continued growth and densification of the Downtown Mount Dora commercial district.</w:t>
      </w:r>
    </w:p>
    <w:p w14:paraId="1EA86A13" w14:textId="77777777" w:rsidR="00745820" w:rsidRDefault="00745820">
      <w:pPr>
        <w:pBdr>
          <w:bottom w:val="single" w:sz="6" w:space="0" w:color="B8860B"/>
        </w:pBdr>
        <w:spacing w:before="240" w:after="240"/>
      </w:pPr>
    </w:p>
    <w:p w14:paraId="41C65A35" w14:textId="1A567ACE" w:rsidR="00745820" w:rsidRDefault="008D109D" w:rsidP="006702F7">
      <w:pPr>
        <w:pStyle w:val="Heading1"/>
        <w:spacing w:before="480" w:after="120" w:line="312" w:lineRule="auto"/>
      </w:pPr>
      <w:r>
        <w:rPr>
          <w:rFonts w:ascii="Calibri" w:eastAsia="Calibri" w:hAnsi="Calibri" w:cs="Calibri"/>
          <w:color w:val="0A1628"/>
        </w:rPr>
        <w:t>V. Market Overview: Mount Dora, Florida</w:t>
      </w:r>
    </w:p>
    <w:p w14:paraId="717F6BC8" w14:textId="236190BF" w:rsidR="00745820" w:rsidRDefault="008D109D">
      <w:pPr>
        <w:spacing w:after="200"/>
        <w:jc w:val="center"/>
      </w:pPr>
      <w:r>
        <w:rPr>
          <w:i/>
          <w:iCs/>
          <w:color w:val="6B7280"/>
          <w:sz w:val="20"/>
          <w:szCs w:val="20"/>
        </w:rPr>
        <w:t xml:space="preserve">Historic Downtown Mount Dora — </w:t>
      </w:r>
      <w:r w:rsidR="00F86BEB">
        <w:rPr>
          <w:i/>
          <w:iCs/>
          <w:color w:val="6B7280"/>
          <w:sz w:val="20"/>
          <w:szCs w:val="20"/>
        </w:rPr>
        <w:t>A Nationally Rec</w:t>
      </w:r>
      <w:r w:rsidR="006702F7">
        <w:rPr>
          <w:i/>
          <w:iCs/>
          <w:color w:val="6B7280"/>
          <w:sz w:val="20"/>
          <w:szCs w:val="20"/>
        </w:rPr>
        <w:t>ognized</w:t>
      </w:r>
      <w:r>
        <w:rPr>
          <w:i/>
          <w:iCs/>
          <w:color w:val="6B7280"/>
          <w:sz w:val="20"/>
          <w:szCs w:val="20"/>
        </w:rPr>
        <w:t xml:space="preserve"> Lakeside Destination</w:t>
      </w:r>
    </w:p>
    <w:p w14:paraId="4056D144" w14:textId="77777777" w:rsidR="00745820" w:rsidRDefault="008D109D">
      <w:pPr>
        <w:pStyle w:val="Heading2"/>
        <w:spacing w:before="360" w:after="120" w:line="312" w:lineRule="auto"/>
      </w:pPr>
      <w:r>
        <w:rPr>
          <w:rFonts w:ascii="Calibri" w:eastAsia="Calibri" w:hAnsi="Calibri" w:cs="Calibri"/>
          <w:color w:val="0A1628"/>
        </w:rPr>
        <w:t>Location &amp; Regional Context</w:t>
      </w:r>
    </w:p>
    <w:p w14:paraId="5DA6F00C" w14:textId="77777777" w:rsidR="00745820" w:rsidRDefault="008D109D">
      <w:pPr>
        <w:spacing w:before="60" w:after="120" w:line="360" w:lineRule="auto"/>
      </w:pPr>
      <w:r>
        <w:rPr>
          <w:rFonts w:ascii="Calibri" w:eastAsia="Calibri" w:hAnsi="Calibri" w:cs="Calibri"/>
          <w:color w:val="1A1A2E"/>
          <w:sz w:val="22"/>
          <w:szCs w:val="22"/>
        </w:rPr>
        <w:t xml:space="preserve">Mount Dora is a historic lakeside city located in </w:t>
      </w:r>
      <w:r>
        <w:rPr>
          <w:rFonts w:ascii="Calibri" w:eastAsia="Calibri" w:hAnsi="Calibri" w:cs="Calibri"/>
          <w:b/>
          <w:bCs/>
          <w:color w:val="1A1A2E"/>
          <w:sz w:val="22"/>
          <w:szCs w:val="22"/>
        </w:rPr>
        <w:t>Lake County, Florida</w:t>
      </w:r>
      <w:r>
        <w:rPr>
          <w:rFonts w:ascii="Calibri" w:eastAsia="Calibri" w:hAnsi="Calibri" w:cs="Calibri"/>
          <w:color w:val="1A1A2E"/>
          <w:sz w:val="22"/>
          <w:szCs w:val="22"/>
        </w:rPr>
        <w:t xml:space="preserve">, approximately </w:t>
      </w:r>
      <w:r>
        <w:rPr>
          <w:rFonts w:ascii="Calibri" w:eastAsia="Calibri" w:hAnsi="Calibri" w:cs="Calibri"/>
          <w:b/>
          <w:bCs/>
          <w:color w:val="1A1A2E"/>
          <w:sz w:val="22"/>
          <w:szCs w:val="22"/>
        </w:rPr>
        <w:t>30 miles northwest of Orlando</w:t>
      </w:r>
      <w:r>
        <w:rPr>
          <w:rFonts w:ascii="Calibri" w:eastAsia="Calibri" w:hAnsi="Calibri" w:cs="Calibri"/>
          <w:color w:val="1A1A2E"/>
          <w:sz w:val="22"/>
          <w:szCs w:val="22"/>
        </w:rPr>
        <w:t xml:space="preserve"> — the nation’s most-visited metropolitan area. Situated along the shores of Lake Dora and within the Harris Chain of Lakes, the city benefits from a unique combination of natural beauty, historic character, and strategic proximity to the Orlando metro area’s consumer base of over 2.6 million residents.</w:t>
      </w:r>
    </w:p>
    <w:p w14:paraId="6853EE19" w14:textId="77777777" w:rsidR="00745820" w:rsidRDefault="008D109D">
      <w:pPr>
        <w:spacing w:before="60" w:after="120" w:line="360" w:lineRule="auto"/>
      </w:pPr>
      <w:r>
        <w:rPr>
          <w:rFonts w:ascii="Calibri" w:eastAsia="Calibri" w:hAnsi="Calibri" w:cs="Calibri"/>
          <w:color w:val="1A1A2E"/>
          <w:sz w:val="22"/>
          <w:szCs w:val="22"/>
        </w:rPr>
        <w:t xml:space="preserve">Known widely as the </w:t>
      </w:r>
      <w:r>
        <w:rPr>
          <w:rFonts w:ascii="Calibri" w:eastAsia="Calibri" w:hAnsi="Calibri" w:cs="Calibri"/>
          <w:b/>
          <w:bCs/>
          <w:color w:val="1A1A2E"/>
          <w:sz w:val="22"/>
          <w:szCs w:val="22"/>
        </w:rPr>
        <w:t>“Festival City,”</w:t>
      </w:r>
      <w:r>
        <w:rPr>
          <w:rFonts w:ascii="Calibri" w:eastAsia="Calibri" w:hAnsi="Calibri" w:cs="Calibri"/>
          <w:color w:val="1A1A2E"/>
          <w:sz w:val="22"/>
          <w:szCs w:val="22"/>
        </w:rPr>
        <w:t xml:space="preserve"> Mount Dora has established itself as one of Florida’s premier cultural and lifestyle destinations, frequently cited as one of the </w:t>
      </w:r>
      <w:r>
        <w:rPr>
          <w:rFonts w:ascii="Calibri" w:eastAsia="Calibri" w:hAnsi="Calibri" w:cs="Calibri"/>
          <w:b/>
          <w:bCs/>
          <w:color w:val="1A1A2E"/>
          <w:sz w:val="22"/>
          <w:szCs w:val="22"/>
        </w:rPr>
        <w:t>best small towns in Florida</w:t>
      </w:r>
      <w:r>
        <w:rPr>
          <w:rFonts w:ascii="Calibri" w:eastAsia="Calibri" w:hAnsi="Calibri" w:cs="Calibri"/>
          <w:color w:val="1A1A2E"/>
          <w:sz w:val="22"/>
          <w:szCs w:val="22"/>
        </w:rPr>
        <w:t xml:space="preserve"> by publications and travel media.</w:t>
      </w:r>
    </w:p>
    <w:p w14:paraId="76E22AF1" w14:textId="77777777" w:rsidR="00745820" w:rsidRDefault="008D109D">
      <w:pPr>
        <w:pStyle w:val="Heading2"/>
        <w:spacing w:before="360" w:after="120" w:line="312" w:lineRule="auto"/>
      </w:pPr>
      <w:r>
        <w:rPr>
          <w:rFonts w:ascii="Calibri" w:eastAsia="Calibri" w:hAnsi="Calibri" w:cs="Calibri"/>
          <w:color w:val="0A1628"/>
        </w:rPr>
        <w:t>Population &amp; Demographic Growth</w:t>
      </w:r>
    </w:p>
    <w:p w14:paraId="5D965509" w14:textId="77777777" w:rsidR="00745820" w:rsidRDefault="00745820">
      <w:pPr>
        <w:spacing w:before="200"/>
      </w:pPr>
    </w:p>
    <w:tbl>
      <w:tblPr>
        <w:tblW w:w="5000" w:type="pct"/>
        <w:tblBorders>
          <w:top w:val="single" w:sz="4" w:space="0" w:color="E5E7EB"/>
          <w:left w:val="single" w:sz="4" w:space="0" w:color="E5E7EB"/>
          <w:bottom w:val="single" w:sz="4" w:space="0" w:color="E5E7EB"/>
          <w:right w:val="single" w:sz="4" w:space="0" w:color="E5E7EB"/>
          <w:insideH w:val="single" w:sz="4" w:space="0" w:color="E5E7EB"/>
          <w:insideV w:val="single" w:sz="4" w:space="0" w:color="E5E7EB"/>
        </w:tblBorders>
        <w:tblCellMar>
          <w:left w:w="10" w:type="dxa"/>
          <w:right w:w="10" w:type="dxa"/>
        </w:tblCellMar>
        <w:tblLook w:val="04A0" w:firstRow="1" w:lastRow="0" w:firstColumn="1" w:lastColumn="0" w:noHBand="0" w:noVBand="1"/>
      </w:tblPr>
      <w:tblGrid>
        <w:gridCol w:w="5142"/>
        <w:gridCol w:w="2057"/>
        <w:gridCol w:w="2151"/>
      </w:tblGrid>
      <w:tr w:rsidR="00745820" w14:paraId="456C9450" w14:textId="77777777">
        <w:trPr>
          <w:tblHeader/>
        </w:trPr>
        <w:tc>
          <w:tcPr>
            <w:tcW w:w="2750" w:type="pct"/>
            <w:shd w:val="clear" w:color="auto" w:fill="0A1628"/>
            <w:tcMar>
              <w:top w:w="90" w:type="dxa"/>
              <w:left w:w="120" w:type="dxa"/>
              <w:bottom w:w="90" w:type="dxa"/>
              <w:right w:w="120" w:type="dxa"/>
            </w:tcMar>
          </w:tcPr>
          <w:p w14:paraId="6B493347" w14:textId="77777777" w:rsidR="00745820" w:rsidRDefault="008D109D">
            <w:r>
              <w:rPr>
                <w:rFonts w:ascii="Calibri" w:eastAsia="Calibri" w:hAnsi="Calibri" w:cs="Calibri"/>
                <w:b/>
                <w:bCs/>
                <w:color w:val="FFFFFF"/>
                <w:spacing w:val="8"/>
                <w:sz w:val="20"/>
                <w:szCs w:val="20"/>
              </w:rPr>
              <w:t>Metric</w:t>
            </w:r>
          </w:p>
        </w:tc>
        <w:tc>
          <w:tcPr>
            <w:tcW w:w="1100" w:type="pct"/>
            <w:shd w:val="clear" w:color="auto" w:fill="0A1628"/>
            <w:tcMar>
              <w:top w:w="90" w:type="dxa"/>
              <w:left w:w="120" w:type="dxa"/>
              <w:bottom w:w="90" w:type="dxa"/>
              <w:right w:w="120" w:type="dxa"/>
            </w:tcMar>
          </w:tcPr>
          <w:p w14:paraId="7241120B" w14:textId="77777777" w:rsidR="00745820" w:rsidRDefault="008D109D">
            <w:r>
              <w:rPr>
                <w:rFonts w:ascii="Calibri" w:eastAsia="Calibri" w:hAnsi="Calibri" w:cs="Calibri"/>
                <w:b/>
                <w:bCs/>
                <w:color w:val="FFFFFF"/>
                <w:spacing w:val="8"/>
                <w:sz w:val="20"/>
                <w:szCs w:val="20"/>
              </w:rPr>
              <w:t>Mount Dora</w:t>
            </w:r>
          </w:p>
        </w:tc>
        <w:tc>
          <w:tcPr>
            <w:tcW w:w="1150" w:type="pct"/>
            <w:shd w:val="clear" w:color="auto" w:fill="0A1628"/>
            <w:tcMar>
              <w:top w:w="90" w:type="dxa"/>
              <w:left w:w="120" w:type="dxa"/>
              <w:bottom w:w="90" w:type="dxa"/>
              <w:right w:w="120" w:type="dxa"/>
            </w:tcMar>
          </w:tcPr>
          <w:p w14:paraId="455E1586" w14:textId="77777777" w:rsidR="00745820" w:rsidRDefault="008D109D">
            <w:r>
              <w:rPr>
                <w:rFonts w:ascii="Calibri" w:eastAsia="Calibri" w:hAnsi="Calibri" w:cs="Calibri"/>
                <w:b/>
                <w:bCs/>
                <w:color w:val="FFFFFF"/>
                <w:spacing w:val="8"/>
                <w:sz w:val="20"/>
                <w:szCs w:val="20"/>
              </w:rPr>
              <w:t>Lake County</w:t>
            </w:r>
          </w:p>
        </w:tc>
      </w:tr>
      <w:tr w:rsidR="00745820" w14:paraId="4F0CB4C4" w14:textId="77777777">
        <w:tc>
          <w:tcPr>
            <w:tcW w:w="2750" w:type="pct"/>
            <w:tcMar>
              <w:top w:w="90" w:type="dxa"/>
              <w:left w:w="120" w:type="dxa"/>
              <w:bottom w:w="90" w:type="dxa"/>
              <w:right w:w="120" w:type="dxa"/>
            </w:tcMar>
          </w:tcPr>
          <w:p w14:paraId="7182AAB5" w14:textId="77777777" w:rsidR="00745820" w:rsidRDefault="008D109D">
            <w:r>
              <w:rPr>
                <w:rFonts w:ascii="Calibri" w:eastAsia="Calibri" w:hAnsi="Calibri" w:cs="Calibri"/>
                <w:b/>
                <w:bCs/>
                <w:color w:val="1A1A2E"/>
                <w:sz w:val="22"/>
                <w:szCs w:val="22"/>
              </w:rPr>
              <w:t>Population (2024 Est.)</w:t>
            </w:r>
          </w:p>
        </w:tc>
        <w:tc>
          <w:tcPr>
            <w:tcW w:w="1100" w:type="pct"/>
            <w:tcMar>
              <w:top w:w="90" w:type="dxa"/>
              <w:left w:w="120" w:type="dxa"/>
              <w:bottom w:w="90" w:type="dxa"/>
              <w:right w:w="120" w:type="dxa"/>
            </w:tcMar>
          </w:tcPr>
          <w:p w14:paraId="3CDBE64D" w14:textId="77777777" w:rsidR="00745820" w:rsidRDefault="008D109D">
            <w:r>
              <w:rPr>
                <w:rFonts w:ascii="Calibri" w:eastAsia="Calibri" w:hAnsi="Calibri" w:cs="Calibri"/>
                <w:color w:val="1A1A2E"/>
                <w:sz w:val="20"/>
                <w:szCs w:val="20"/>
              </w:rPr>
              <w:t>18,261</w:t>
            </w:r>
          </w:p>
        </w:tc>
        <w:tc>
          <w:tcPr>
            <w:tcW w:w="1150" w:type="pct"/>
            <w:tcMar>
              <w:top w:w="90" w:type="dxa"/>
              <w:left w:w="120" w:type="dxa"/>
              <w:bottom w:w="90" w:type="dxa"/>
              <w:right w:w="120" w:type="dxa"/>
            </w:tcMar>
          </w:tcPr>
          <w:p w14:paraId="5B1EFE40" w14:textId="77777777" w:rsidR="00745820" w:rsidRDefault="008D109D">
            <w:r>
              <w:rPr>
                <w:rFonts w:ascii="Calibri" w:eastAsia="Calibri" w:hAnsi="Calibri" w:cs="Calibri"/>
                <w:color w:val="1A1A2E"/>
                <w:sz w:val="20"/>
                <w:szCs w:val="20"/>
              </w:rPr>
              <w:t>444,204</w:t>
            </w:r>
          </w:p>
        </w:tc>
      </w:tr>
      <w:tr w:rsidR="00745820" w14:paraId="1045F51D" w14:textId="77777777">
        <w:tc>
          <w:tcPr>
            <w:tcW w:w="2750" w:type="pct"/>
            <w:tcMar>
              <w:top w:w="90" w:type="dxa"/>
              <w:left w:w="120" w:type="dxa"/>
              <w:bottom w:w="90" w:type="dxa"/>
              <w:right w:w="120" w:type="dxa"/>
            </w:tcMar>
          </w:tcPr>
          <w:p w14:paraId="357FA30A" w14:textId="77777777" w:rsidR="00745820" w:rsidRDefault="008D109D">
            <w:r>
              <w:rPr>
                <w:rFonts w:ascii="Calibri" w:eastAsia="Calibri" w:hAnsi="Calibri" w:cs="Calibri"/>
                <w:b/>
                <w:bCs/>
                <w:color w:val="1A1A2E"/>
                <w:sz w:val="22"/>
                <w:szCs w:val="22"/>
              </w:rPr>
              <w:t>Population (2020 Census)</w:t>
            </w:r>
          </w:p>
        </w:tc>
        <w:tc>
          <w:tcPr>
            <w:tcW w:w="1100" w:type="pct"/>
            <w:tcMar>
              <w:top w:w="90" w:type="dxa"/>
              <w:left w:w="120" w:type="dxa"/>
              <w:bottom w:w="90" w:type="dxa"/>
              <w:right w:w="120" w:type="dxa"/>
            </w:tcMar>
          </w:tcPr>
          <w:p w14:paraId="7C9E7652" w14:textId="77777777" w:rsidR="00745820" w:rsidRDefault="008D109D">
            <w:r>
              <w:rPr>
                <w:rFonts w:ascii="Calibri" w:eastAsia="Calibri" w:hAnsi="Calibri" w:cs="Calibri"/>
                <w:color w:val="1A1A2E"/>
                <w:sz w:val="20"/>
                <w:szCs w:val="20"/>
              </w:rPr>
              <w:t>16,341</w:t>
            </w:r>
          </w:p>
        </w:tc>
        <w:tc>
          <w:tcPr>
            <w:tcW w:w="1150" w:type="pct"/>
            <w:tcMar>
              <w:top w:w="90" w:type="dxa"/>
              <w:left w:w="120" w:type="dxa"/>
              <w:bottom w:w="90" w:type="dxa"/>
              <w:right w:w="120" w:type="dxa"/>
            </w:tcMar>
          </w:tcPr>
          <w:p w14:paraId="662E10C3" w14:textId="77777777" w:rsidR="00745820" w:rsidRDefault="008D109D">
            <w:r>
              <w:rPr>
                <w:rFonts w:ascii="Calibri" w:eastAsia="Calibri" w:hAnsi="Calibri" w:cs="Calibri"/>
                <w:color w:val="1A1A2E"/>
                <w:sz w:val="20"/>
                <w:szCs w:val="20"/>
              </w:rPr>
              <w:t>383,956</w:t>
            </w:r>
          </w:p>
        </w:tc>
      </w:tr>
      <w:tr w:rsidR="00745820" w14:paraId="62E55586" w14:textId="77777777">
        <w:tc>
          <w:tcPr>
            <w:tcW w:w="2750" w:type="pct"/>
            <w:tcMar>
              <w:top w:w="90" w:type="dxa"/>
              <w:left w:w="120" w:type="dxa"/>
              <w:bottom w:w="90" w:type="dxa"/>
              <w:right w:w="120" w:type="dxa"/>
            </w:tcMar>
          </w:tcPr>
          <w:p w14:paraId="66D91F11" w14:textId="77777777" w:rsidR="00745820" w:rsidRDefault="008D109D">
            <w:r>
              <w:rPr>
                <w:rFonts w:ascii="Calibri" w:eastAsia="Calibri" w:hAnsi="Calibri" w:cs="Calibri"/>
                <w:b/>
                <w:bCs/>
                <w:color w:val="1A1A2E"/>
                <w:sz w:val="22"/>
                <w:szCs w:val="22"/>
              </w:rPr>
              <w:t>Growth Since 2020</w:t>
            </w:r>
          </w:p>
        </w:tc>
        <w:tc>
          <w:tcPr>
            <w:tcW w:w="1100" w:type="pct"/>
            <w:tcMar>
              <w:top w:w="90" w:type="dxa"/>
              <w:left w:w="120" w:type="dxa"/>
              <w:bottom w:w="90" w:type="dxa"/>
              <w:right w:w="120" w:type="dxa"/>
            </w:tcMar>
          </w:tcPr>
          <w:p w14:paraId="3289BE98" w14:textId="77777777" w:rsidR="00745820" w:rsidRDefault="008D109D">
            <w:r>
              <w:rPr>
                <w:rFonts w:ascii="Calibri" w:eastAsia="Calibri" w:hAnsi="Calibri" w:cs="Calibri"/>
                <w:color w:val="1A1A2E"/>
                <w:sz w:val="20"/>
                <w:szCs w:val="20"/>
              </w:rPr>
              <w:t>+11.8%</w:t>
            </w:r>
          </w:p>
        </w:tc>
        <w:tc>
          <w:tcPr>
            <w:tcW w:w="1150" w:type="pct"/>
            <w:tcMar>
              <w:top w:w="90" w:type="dxa"/>
              <w:left w:w="120" w:type="dxa"/>
              <w:bottom w:w="90" w:type="dxa"/>
              <w:right w:w="120" w:type="dxa"/>
            </w:tcMar>
          </w:tcPr>
          <w:p w14:paraId="6961AAE0" w14:textId="77777777" w:rsidR="00745820" w:rsidRDefault="008D109D">
            <w:r>
              <w:rPr>
                <w:rFonts w:ascii="Calibri" w:eastAsia="Calibri" w:hAnsi="Calibri" w:cs="Calibri"/>
                <w:color w:val="1A1A2E"/>
                <w:sz w:val="20"/>
                <w:szCs w:val="20"/>
              </w:rPr>
              <w:t>+15.7%</w:t>
            </w:r>
          </w:p>
        </w:tc>
      </w:tr>
      <w:tr w:rsidR="00745820" w14:paraId="6B03F61E" w14:textId="77777777">
        <w:tc>
          <w:tcPr>
            <w:tcW w:w="2750" w:type="pct"/>
            <w:tcMar>
              <w:top w:w="90" w:type="dxa"/>
              <w:left w:w="120" w:type="dxa"/>
              <w:bottom w:w="90" w:type="dxa"/>
              <w:right w:w="120" w:type="dxa"/>
            </w:tcMar>
          </w:tcPr>
          <w:p w14:paraId="130EE314" w14:textId="77777777" w:rsidR="00745820" w:rsidRDefault="008D109D">
            <w:r>
              <w:rPr>
                <w:rFonts w:ascii="Calibri" w:eastAsia="Calibri" w:hAnsi="Calibri" w:cs="Calibri"/>
                <w:b/>
                <w:bCs/>
                <w:color w:val="1A1A2E"/>
                <w:sz w:val="22"/>
                <w:szCs w:val="22"/>
              </w:rPr>
              <w:t>Lake County Projected 2030</w:t>
            </w:r>
          </w:p>
        </w:tc>
        <w:tc>
          <w:tcPr>
            <w:tcW w:w="1100" w:type="pct"/>
            <w:tcMar>
              <w:top w:w="90" w:type="dxa"/>
              <w:left w:w="120" w:type="dxa"/>
              <w:bottom w:w="90" w:type="dxa"/>
              <w:right w:w="120" w:type="dxa"/>
            </w:tcMar>
          </w:tcPr>
          <w:p w14:paraId="3D2A313C" w14:textId="77777777" w:rsidR="00745820" w:rsidRDefault="008D109D">
            <w:r>
              <w:rPr>
                <w:rFonts w:ascii="Calibri" w:eastAsia="Calibri" w:hAnsi="Calibri" w:cs="Calibri"/>
                <w:color w:val="1A1A2E"/>
                <w:sz w:val="20"/>
                <w:szCs w:val="20"/>
              </w:rPr>
              <w:t>—</w:t>
            </w:r>
          </w:p>
        </w:tc>
        <w:tc>
          <w:tcPr>
            <w:tcW w:w="1150" w:type="pct"/>
            <w:tcMar>
              <w:top w:w="90" w:type="dxa"/>
              <w:left w:w="120" w:type="dxa"/>
              <w:bottom w:w="90" w:type="dxa"/>
              <w:right w:w="120" w:type="dxa"/>
            </w:tcMar>
          </w:tcPr>
          <w:p w14:paraId="16AFA2C4" w14:textId="77777777" w:rsidR="00745820" w:rsidRDefault="008D109D">
            <w:r>
              <w:rPr>
                <w:rFonts w:ascii="Calibri" w:eastAsia="Calibri" w:hAnsi="Calibri" w:cs="Calibri"/>
                <w:color w:val="1A1A2E"/>
                <w:sz w:val="20"/>
                <w:szCs w:val="20"/>
              </w:rPr>
              <w:t>499,078</w:t>
            </w:r>
          </w:p>
        </w:tc>
      </w:tr>
      <w:tr w:rsidR="00745820" w14:paraId="12AC8B40" w14:textId="77777777">
        <w:tc>
          <w:tcPr>
            <w:tcW w:w="2750" w:type="pct"/>
            <w:tcMar>
              <w:top w:w="90" w:type="dxa"/>
              <w:left w:w="120" w:type="dxa"/>
              <w:bottom w:w="90" w:type="dxa"/>
              <w:right w:w="120" w:type="dxa"/>
            </w:tcMar>
          </w:tcPr>
          <w:p w14:paraId="1205D097" w14:textId="77777777" w:rsidR="00745820" w:rsidRDefault="008D109D">
            <w:r>
              <w:rPr>
                <w:rFonts w:ascii="Calibri" w:eastAsia="Calibri" w:hAnsi="Calibri" w:cs="Calibri"/>
                <w:b/>
                <w:bCs/>
                <w:color w:val="1A1A2E"/>
                <w:sz w:val="22"/>
                <w:szCs w:val="22"/>
              </w:rPr>
              <w:t>Median Home Value</w:t>
            </w:r>
          </w:p>
        </w:tc>
        <w:tc>
          <w:tcPr>
            <w:tcW w:w="1100" w:type="pct"/>
            <w:tcMar>
              <w:top w:w="90" w:type="dxa"/>
              <w:left w:w="120" w:type="dxa"/>
              <w:bottom w:w="90" w:type="dxa"/>
              <w:right w:w="120" w:type="dxa"/>
            </w:tcMar>
          </w:tcPr>
          <w:p w14:paraId="041FF5B8" w14:textId="77777777" w:rsidR="00745820" w:rsidRDefault="008D109D">
            <w:r>
              <w:rPr>
                <w:rFonts w:ascii="Calibri" w:eastAsia="Calibri" w:hAnsi="Calibri" w:cs="Calibri"/>
                <w:color w:val="1A1A2E"/>
                <w:sz w:val="20"/>
                <w:szCs w:val="20"/>
              </w:rPr>
              <w:t>$381,900</w:t>
            </w:r>
          </w:p>
        </w:tc>
        <w:tc>
          <w:tcPr>
            <w:tcW w:w="1150" w:type="pct"/>
            <w:tcMar>
              <w:top w:w="90" w:type="dxa"/>
              <w:left w:w="120" w:type="dxa"/>
              <w:bottom w:w="90" w:type="dxa"/>
              <w:right w:w="120" w:type="dxa"/>
            </w:tcMar>
          </w:tcPr>
          <w:p w14:paraId="5922448C" w14:textId="77777777" w:rsidR="00745820" w:rsidRDefault="008D109D">
            <w:r>
              <w:rPr>
                <w:rFonts w:ascii="Calibri" w:eastAsia="Calibri" w:hAnsi="Calibri" w:cs="Calibri"/>
                <w:color w:val="1A1A2E"/>
                <w:sz w:val="20"/>
                <w:szCs w:val="20"/>
              </w:rPr>
              <w:t>$318,400</w:t>
            </w:r>
          </w:p>
        </w:tc>
      </w:tr>
      <w:tr w:rsidR="00745820" w14:paraId="636C96C1" w14:textId="77777777">
        <w:tc>
          <w:tcPr>
            <w:tcW w:w="2750" w:type="pct"/>
            <w:tcMar>
              <w:top w:w="90" w:type="dxa"/>
              <w:left w:w="120" w:type="dxa"/>
              <w:bottom w:w="90" w:type="dxa"/>
              <w:right w:w="120" w:type="dxa"/>
            </w:tcMar>
          </w:tcPr>
          <w:p w14:paraId="0066C84E" w14:textId="77777777" w:rsidR="00745820" w:rsidRDefault="008D109D">
            <w:r>
              <w:rPr>
                <w:rFonts w:ascii="Calibri" w:eastAsia="Calibri" w:hAnsi="Calibri" w:cs="Calibri"/>
                <w:b/>
                <w:bCs/>
                <w:color w:val="1A1A2E"/>
                <w:sz w:val="22"/>
                <w:szCs w:val="22"/>
              </w:rPr>
              <w:t>Population 65+ (%)</w:t>
            </w:r>
          </w:p>
        </w:tc>
        <w:tc>
          <w:tcPr>
            <w:tcW w:w="1100" w:type="pct"/>
            <w:tcMar>
              <w:top w:w="90" w:type="dxa"/>
              <w:left w:w="120" w:type="dxa"/>
              <w:bottom w:w="90" w:type="dxa"/>
              <w:right w:w="120" w:type="dxa"/>
            </w:tcMar>
          </w:tcPr>
          <w:p w14:paraId="021F18B4" w14:textId="77777777" w:rsidR="00745820" w:rsidRDefault="008D109D">
            <w:r>
              <w:rPr>
                <w:rFonts w:ascii="Calibri" w:eastAsia="Calibri" w:hAnsi="Calibri" w:cs="Calibri"/>
                <w:color w:val="1A1A2E"/>
                <w:sz w:val="20"/>
                <w:szCs w:val="20"/>
              </w:rPr>
              <w:t>33.5%</w:t>
            </w:r>
          </w:p>
        </w:tc>
        <w:tc>
          <w:tcPr>
            <w:tcW w:w="1150" w:type="pct"/>
            <w:tcMar>
              <w:top w:w="90" w:type="dxa"/>
              <w:left w:w="120" w:type="dxa"/>
              <w:bottom w:w="90" w:type="dxa"/>
              <w:right w:w="120" w:type="dxa"/>
            </w:tcMar>
          </w:tcPr>
          <w:p w14:paraId="7E0365FD" w14:textId="77777777" w:rsidR="00745820" w:rsidRDefault="008D109D">
            <w:r>
              <w:rPr>
                <w:rFonts w:ascii="Calibri" w:eastAsia="Calibri" w:hAnsi="Calibri" w:cs="Calibri"/>
                <w:color w:val="1A1A2E"/>
                <w:sz w:val="20"/>
                <w:szCs w:val="20"/>
              </w:rPr>
              <w:t>26.6%</w:t>
            </w:r>
          </w:p>
        </w:tc>
      </w:tr>
    </w:tbl>
    <w:p w14:paraId="57E04DD7" w14:textId="77777777" w:rsidR="00745820" w:rsidRDefault="00745820">
      <w:pPr>
        <w:spacing w:after="200"/>
      </w:pPr>
    </w:p>
    <w:p w14:paraId="5317283E" w14:textId="77777777" w:rsidR="00745820" w:rsidRDefault="008D109D">
      <w:pPr>
        <w:spacing w:before="60" w:after="120" w:line="360" w:lineRule="auto"/>
      </w:pPr>
      <w:r>
        <w:rPr>
          <w:rFonts w:ascii="Calibri" w:eastAsia="Calibri" w:hAnsi="Calibri" w:cs="Calibri"/>
          <w:color w:val="666666"/>
          <w:sz w:val="22"/>
          <w:szCs w:val="22"/>
        </w:rPr>
        <w:t>Source: U.S. Census Bureau QuickFacts, 2024 Estimates; Florida Bureau of Economic and Business Research (BEBR), 2025 Projections.</w:t>
      </w:r>
    </w:p>
    <w:p w14:paraId="3A6FA505" w14:textId="77777777" w:rsidR="00745820" w:rsidRDefault="008D109D">
      <w:pPr>
        <w:spacing w:before="60" w:after="120" w:line="360" w:lineRule="auto"/>
      </w:pPr>
      <w:r>
        <w:rPr>
          <w:rFonts w:ascii="Calibri" w:eastAsia="Calibri" w:hAnsi="Calibri" w:cs="Calibri"/>
          <w:color w:val="1A1A2E"/>
          <w:sz w:val="22"/>
          <w:szCs w:val="22"/>
        </w:rPr>
        <w:t xml:space="preserve">Lake County has experienced sustained, above-average population growth, adding over </w:t>
      </w:r>
      <w:r>
        <w:rPr>
          <w:rFonts w:ascii="Calibri" w:eastAsia="Calibri" w:hAnsi="Calibri" w:cs="Calibri"/>
          <w:b/>
          <w:bCs/>
          <w:color w:val="1A1A2E"/>
          <w:sz w:val="22"/>
          <w:szCs w:val="22"/>
        </w:rPr>
        <w:t>60,000 residents since 2020</w:t>
      </w:r>
      <w:r>
        <w:rPr>
          <w:rFonts w:ascii="Calibri" w:eastAsia="Calibri" w:hAnsi="Calibri" w:cs="Calibri"/>
          <w:color w:val="1A1A2E"/>
          <w:sz w:val="22"/>
          <w:szCs w:val="22"/>
        </w:rPr>
        <w:t xml:space="preserve"> — a growth rate of 15.7%. The county is projected to reach nearly </w:t>
      </w:r>
      <w:r>
        <w:rPr>
          <w:rFonts w:ascii="Calibri" w:eastAsia="Calibri" w:hAnsi="Calibri" w:cs="Calibri"/>
          <w:b/>
          <w:bCs/>
          <w:color w:val="1A1A2E"/>
          <w:sz w:val="22"/>
          <w:szCs w:val="22"/>
        </w:rPr>
        <w:t>500,000 residents by 2030</w:t>
      </w:r>
      <w:r>
        <w:rPr>
          <w:rFonts w:ascii="Calibri" w:eastAsia="Calibri" w:hAnsi="Calibri" w:cs="Calibri"/>
          <w:color w:val="1A1A2E"/>
          <w:sz w:val="22"/>
          <w:szCs w:val="22"/>
        </w:rPr>
        <w:t xml:space="preserve"> and exceed </w:t>
      </w:r>
      <w:r>
        <w:rPr>
          <w:rFonts w:ascii="Calibri" w:eastAsia="Calibri" w:hAnsi="Calibri" w:cs="Calibri"/>
          <w:b/>
          <w:bCs/>
          <w:color w:val="1A1A2E"/>
          <w:sz w:val="22"/>
          <w:szCs w:val="22"/>
        </w:rPr>
        <w:t>626,000 by 2050</w:t>
      </w:r>
      <w:r>
        <w:rPr>
          <w:rFonts w:ascii="Calibri" w:eastAsia="Calibri" w:hAnsi="Calibri" w:cs="Calibri"/>
          <w:color w:val="1A1A2E"/>
          <w:sz w:val="22"/>
          <w:szCs w:val="22"/>
        </w:rPr>
        <w:t>, driven by lifestyle migration, retiree relocation, and spillover growth from the Orlando metropolitan area. Mount Dora itself has grown 11.8% since the 2020 Census, with its population reaching an estimated 18,261 in 2024.</w:t>
      </w:r>
    </w:p>
    <w:p w14:paraId="681A8A21" w14:textId="77777777" w:rsidR="00745820" w:rsidRDefault="008D109D">
      <w:pPr>
        <w:spacing w:before="60" w:after="120" w:line="360" w:lineRule="auto"/>
      </w:pPr>
      <w:r>
        <w:rPr>
          <w:rFonts w:ascii="Calibri" w:eastAsia="Calibri" w:hAnsi="Calibri" w:cs="Calibri"/>
          <w:color w:val="1A1A2E"/>
          <w:sz w:val="22"/>
          <w:szCs w:val="22"/>
        </w:rPr>
        <w:t>The demographic profile is particularly favorable for the portfolio’s tenant mix: Mount Dora’s affluent retiree population (33.5% over age 65) and higher median home values support strong discretionary spending on dining, specialty retail, and experiential activities.</w:t>
      </w:r>
    </w:p>
    <w:p w14:paraId="5D32019B" w14:textId="77777777" w:rsidR="00745820" w:rsidRDefault="008D109D">
      <w:pPr>
        <w:pStyle w:val="Heading2"/>
        <w:spacing w:before="360" w:after="120" w:line="312" w:lineRule="auto"/>
      </w:pPr>
      <w:r>
        <w:rPr>
          <w:rFonts w:ascii="Calibri" w:eastAsia="Calibri" w:hAnsi="Calibri" w:cs="Calibri"/>
          <w:color w:val="0A1628"/>
        </w:rPr>
        <w:t>Tourism &amp; Events</w:t>
      </w:r>
    </w:p>
    <w:p w14:paraId="62748D8B" w14:textId="77777777" w:rsidR="00745820" w:rsidRDefault="008D109D">
      <w:pPr>
        <w:spacing w:before="60" w:after="120" w:line="360" w:lineRule="auto"/>
      </w:pPr>
      <w:r>
        <w:rPr>
          <w:rFonts w:ascii="Calibri" w:eastAsia="Calibri" w:hAnsi="Calibri" w:cs="Calibri"/>
          <w:color w:val="1A1A2E"/>
          <w:sz w:val="22"/>
          <w:szCs w:val="22"/>
        </w:rPr>
        <w:t xml:space="preserve">Mount Dora’s tourism economy is a primary demand driver for the portfolio’s food &amp; beverage and specialty retail tenants. The city hosts </w:t>
      </w:r>
      <w:r>
        <w:rPr>
          <w:rFonts w:ascii="Calibri" w:eastAsia="Calibri" w:hAnsi="Calibri" w:cs="Calibri"/>
          <w:b/>
          <w:bCs/>
          <w:color w:val="1A1A2E"/>
          <w:sz w:val="22"/>
          <w:szCs w:val="22"/>
        </w:rPr>
        <w:t>over 30 major festivals and events annually</w:t>
      </w:r>
      <w:r>
        <w:rPr>
          <w:rFonts w:ascii="Calibri" w:eastAsia="Calibri" w:hAnsi="Calibri" w:cs="Calibri"/>
          <w:color w:val="1A1A2E"/>
          <w:sz w:val="22"/>
          <w:szCs w:val="22"/>
        </w:rPr>
        <w:t>, including:</w:t>
      </w:r>
    </w:p>
    <w:p w14:paraId="2C66FF77" w14:textId="77777777" w:rsidR="00745820" w:rsidRDefault="008D109D">
      <w:pPr>
        <w:pStyle w:val="ListParagraph"/>
        <w:numPr>
          <w:ilvl w:val="0"/>
          <w:numId w:val="1"/>
        </w:numPr>
        <w:spacing w:after="60" w:line="408" w:lineRule="auto"/>
      </w:pPr>
      <w:r>
        <w:rPr>
          <w:rFonts w:ascii="Calibri" w:eastAsia="Calibri" w:hAnsi="Calibri" w:cs="Calibri"/>
          <w:b/>
          <w:bCs/>
          <w:color w:val="1A1A2E"/>
          <w:sz w:val="22"/>
          <w:szCs w:val="22"/>
        </w:rPr>
        <w:t>Renninger’s Antique Extravaganza</w:t>
      </w:r>
      <w:r>
        <w:rPr>
          <w:rFonts w:ascii="Calibri" w:eastAsia="Calibri" w:hAnsi="Calibri" w:cs="Calibri"/>
          <w:color w:val="1A1A2E"/>
          <w:sz w:val="22"/>
          <w:szCs w:val="22"/>
        </w:rPr>
        <w:t xml:space="preserve"> — Drawing 800+ dealers and thousands of visitors multiple times per year</w:t>
      </w:r>
    </w:p>
    <w:p w14:paraId="06633646" w14:textId="77777777" w:rsidR="00745820" w:rsidRDefault="008D109D">
      <w:pPr>
        <w:pStyle w:val="ListParagraph"/>
        <w:numPr>
          <w:ilvl w:val="0"/>
          <w:numId w:val="1"/>
        </w:numPr>
        <w:spacing w:after="60" w:line="408" w:lineRule="auto"/>
      </w:pPr>
      <w:r>
        <w:rPr>
          <w:rFonts w:ascii="Calibri" w:eastAsia="Calibri" w:hAnsi="Calibri" w:cs="Calibri"/>
          <w:b/>
          <w:bCs/>
          <w:color w:val="1A1A2E"/>
          <w:sz w:val="22"/>
          <w:szCs w:val="22"/>
        </w:rPr>
        <w:t>Mount Dora Arts Festival</w:t>
      </w:r>
      <w:r>
        <w:rPr>
          <w:rFonts w:ascii="Calibri" w:eastAsia="Calibri" w:hAnsi="Calibri" w:cs="Calibri"/>
          <w:color w:val="1A1A2E"/>
          <w:sz w:val="22"/>
          <w:szCs w:val="22"/>
        </w:rPr>
        <w:t xml:space="preserve"> — 285+ juried artists and thousands of attendees</w:t>
      </w:r>
    </w:p>
    <w:p w14:paraId="2725DE31" w14:textId="77777777" w:rsidR="00745820" w:rsidRDefault="008D109D">
      <w:pPr>
        <w:pStyle w:val="ListParagraph"/>
        <w:numPr>
          <w:ilvl w:val="0"/>
          <w:numId w:val="1"/>
        </w:numPr>
        <w:spacing w:after="60" w:line="408" w:lineRule="auto"/>
      </w:pPr>
      <w:r>
        <w:rPr>
          <w:rFonts w:ascii="Calibri" w:eastAsia="Calibri" w:hAnsi="Calibri" w:cs="Calibri"/>
          <w:b/>
          <w:bCs/>
          <w:color w:val="1A1A2E"/>
          <w:sz w:val="22"/>
          <w:szCs w:val="22"/>
        </w:rPr>
        <w:t>Mount Dora Craft Fair</w:t>
      </w:r>
      <w:r>
        <w:rPr>
          <w:rFonts w:ascii="Calibri" w:eastAsia="Calibri" w:hAnsi="Calibri" w:cs="Calibri"/>
          <w:color w:val="1A1A2E"/>
          <w:sz w:val="22"/>
          <w:szCs w:val="22"/>
        </w:rPr>
        <w:t xml:space="preserve"> — One of the Southeast’s premier craft fairs</w:t>
      </w:r>
    </w:p>
    <w:p w14:paraId="72C9D191" w14:textId="77777777" w:rsidR="00745820" w:rsidRDefault="008D109D">
      <w:pPr>
        <w:pStyle w:val="ListParagraph"/>
        <w:numPr>
          <w:ilvl w:val="0"/>
          <w:numId w:val="1"/>
        </w:numPr>
        <w:spacing w:after="60" w:line="408" w:lineRule="auto"/>
      </w:pPr>
      <w:r>
        <w:rPr>
          <w:rFonts w:ascii="Calibri" w:eastAsia="Calibri" w:hAnsi="Calibri" w:cs="Calibri"/>
          <w:b/>
          <w:bCs/>
          <w:color w:val="1A1A2E"/>
          <w:sz w:val="22"/>
          <w:szCs w:val="22"/>
        </w:rPr>
        <w:t>Light Up Mount Dora</w:t>
      </w:r>
      <w:r>
        <w:rPr>
          <w:rFonts w:ascii="Calibri" w:eastAsia="Calibri" w:hAnsi="Calibri" w:cs="Calibri"/>
          <w:color w:val="1A1A2E"/>
          <w:sz w:val="22"/>
          <w:szCs w:val="22"/>
        </w:rPr>
        <w:t xml:space="preserve"> — Holiday festival featuring 2 million lights citywide</w:t>
      </w:r>
    </w:p>
    <w:p w14:paraId="4379AABA" w14:textId="77777777" w:rsidR="00745820" w:rsidRDefault="008D109D">
      <w:pPr>
        <w:pStyle w:val="ListParagraph"/>
        <w:numPr>
          <w:ilvl w:val="0"/>
          <w:numId w:val="1"/>
        </w:numPr>
        <w:spacing w:after="60" w:line="408" w:lineRule="auto"/>
      </w:pPr>
      <w:r>
        <w:rPr>
          <w:rFonts w:ascii="Calibri" w:eastAsia="Calibri" w:hAnsi="Calibri" w:cs="Calibri"/>
          <w:b/>
          <w:bCs/>
          <w:color w:val="1A1A2E"/>
          <w:sz w:val="22"/>
          <w:szCs w:val="22"/>
        </w:rPr>
        <w:t>Mount Dora Bicycle Festival</w:t>
      </w:r>
      <w:r>
        <w:rPr>
          <w:rFonts w:ascii="Calibri" w:eastAsia="Calibri" w:hAnsi="Calibri" w:cs="Calibri"/>
          <w:color w:val="1A1A2E"/>
          <w:sz w:val="22"/>
          <w:szCs w:val="22"/>
        </w:rPr>
        <w:t xml:space="preserve"> — Florida’s oldest and largest cycling festival (52nd year in 2026)</w:t>
      </w:r>
    </w:p>
    <w:p w14:paraId="2D976F92" w14:textId="77777777" w:rsidR="00745820" w:rsidRDefault="008D109D">
      <w:pPr>
        <w:pStyle w:val="ListParagraph"/>
        <w:numPr>
          <w:ilvl w:val="0"/>
          <w:numId w:val="1"/>
        </w:numPr>
        <w:spacing w:after="60" w:line="408" w:lineRule="auto"/>
      </w:pPr>
      <w:r>
        <w:rPr>
          <w:rFonts w:ascii="Calibri" w:eastAsia="Calibri" w:hAnsi="Calibri" w:cs="Calibri"/>
          <w:b/>
          <w:bCs/>
          <w:color w:val="1A1A2E"/>
          <w:sz w:val="22"/>
          <w:szCs w:val="22"/>
        </w:rPr>
        <w:t>Freedom on the Waterfront</w:t>
      </w:r>
      <w:r>
        <w:rPr>
          <w:rFonts w:ascii="Calibri" w:eastAsia="Calibri" w:hAnsi="Calibri" w:cs="Calibri"/>
          <w:color w:val="1A1A2E"/>
          <w:sz w:val="22"/>
          <w:szCs w:val="22"/>
        </w:rPr>
        <w:t xml:space="preserve"> — Annual Independence Day celebration on Lake Dora</w:t>
      </w:r>
    </w:p>
    <w:p w14:paraId="25A01140" w14:textId="77777777" w:rsidR="00745820" w:rsidRDefault="008D109D">
      <w:pPr>
        <w:spacing w:before="60" w:after="120" w:line="360" w:lineRule="auto"/>
      </w:pPr>
      <w:r>
        <w:rPr>
          <w:rFonts w:ascii="Calibri" w:eastAsia="Calibri" w:hAnsi="Calibri" w:cs="Calibri"/>
          <w:color w:val="1A1A2E"/>
          <w:sz w:val="22"/>
          <w:szCs w:val="22"/>
        </w:rPr>
        <w:t xml:space="preserve">These events bring </w:t>
      </w:r>
      <w:r>
        <w:rPr>
          <w:rFonts w:ascii="Calibri" w:eastAsia="Calibri" w:hAnsi="Calibri" w:cs="Calibri"/>
          <w:b/>
          <w:bCs/>
          <w:color w:val="1A1A2E"/>
          <w:sz w:val="22"/>
          <w:szCs w:val="22"/>
        </w:rPr>
        <w:t>tens of thousands of visitors</w:t>
      </w:r>
      <w:r>
        <w:rPr>
          <w:rFonts w:ascii="Calibri" w:eastAsia="Calibri" w:hAnsi="Calibri" w:cs="Calibri"/>
          <w:color w:val="1A1A2E"/>
          <w:sz w:val="22"/>
          <w:szCs w:val="22"/>
        </w:rPr>
        <w:t xml:space="preserve"> to the downtown core throughout the year, generating sustained foot traffic that directly benefits the portfolio’s retail and F&amp;B tenants. The year-round calendar of events mitigates traditional tourism seasonality and supports consistent occupancy and tenant performance.</w:t>
      </w:r>
    </w:p>
    <w:p w14:paraId="08C29C98" w14:textId="77777777" w:rsidR="00745820" w:rsidRDefault="008D109D">
      <w:pPr>
        <w:pStyle w:val="Heading2"/>
        <w:spacing w:before="360" w:after="120" w:line="312" w:lineRule="auto"/>
      </w:pPr>
      <w:r>
        <w:rPr>
          <w:rFonts w:ascii="Calibri" w:eastAsia="Calibri" w:hAnsi="Calibri" w:cs="Calibri"/>
          <w:color w:val="0A1628"/>
        </w:rPr>
        <w:t>Retail Market Conditions</w:t>
      </w:r>
    </w:p>
    <w:p w14:paraId="2CFE2C9E" w14:textId="77777777" w:rsidR="00745820" w:rsidRDefault="008D109D">
      <w:pPr>
        <w:spacing w:before="60" w:after="120" w:line="360" w:lineRule="auto"/>
      </w:pPr>
      <w:r>
        <w:rPr>
          <w:rFonts w:ascii="Calibri" w:eastAsia="Calibri" w:hAnsi="Calibri" w:cs="Calibri"/>
          <w:color w:val="1A1A2E"/>
          <w:sz w:val="22"/>
          <w:szCs w:val="22"/>
        </w:rPr>
        <w:t xml:space="preserve">The broader Florida retail market remains robust. Total retail sales in Lake County reached </w:t>
      </w:r>
      <w:r>
        <w:rPr>
          <w:rFonts w:ascii="Calibri" w:eastAsia="Calibri" w:hAnsi="Calibri" w:cs="Calibri"/>
          <w:b/>
          <w:bCs/>
          <w:color w:val="1A1A2E"/>
          <w:sz w:val="22"/>
          <w:szCs w:val="22"/>
        </w:rPr>
        <w:t>$7.13 billion in 2022</w:t>
      </w:r>
      <w:r>
        <w:rPr>
          <w:rFonts w:ascii="Calibri" w:eastAsia="Calibri" w:hAnsi="Calibri" w:cs="Calibri"/>
          <w:color w:val="1A1A2E"/>
          <w:sz w:val="22"/>
          <w:szCs w:val="22"/>
        </w:rPr>
        <w:t xml:space="preserve">, with accommodation and food services contributing an additional </w:t>
      </w:r>
      <w:r>
        <w:rPr>
          <w:rFonts w:ascii="Calibri" w:eastAsia="Calibri" w:hAnsi="Calibri" w:cs="Calibri"/>
          <w:b/>
          <w:bCs/>
          <w:color w:val="1A1A2E"/>
          <w:sz w:val="22"/>
          <w:szCs w:val="22"/>
        </w:rPr>
        <w:t>$890 million</w:t>
      </w:r>
      <w:r>
        <w:rPr>
          <w:rFonts w:ascii="Calibri" w:eastAsia="Calibri" w:hAnsi="Calibri" w:cs="Calibri"/>
          <w:color w:val="1A1A2E"/>
          <w:sz w:val="22"/>
          <w:szCs w:val="22"/>
        </w:rPr>
        <w:t xml:space="preserve">. National retail vacancy rates stand at approximately </w:t>
      </w:r>
      <w:r>
        <w:rPr>
          <w:rFonts w:ascii="Calibri" w:eastAsia="Calibri" w:hAnsi="Calibri" w:cs="Calibri"/>
          <w:b/>
          <w:bCs/>
          <w:color w:val="1A1A2E"/>
          <w:sz w:val="22"/>
          <w:szCs w:val="22"/>
        </w:rPr>
        <w:t>5.1%</w:t>
      </w:r>
      <w:r>
        <w:rPr>
          <w:rFonts w:ascii="Calibri" w:eastAsia="Calibri" w:hAnsi="Calibri" w:cs="Calibri"/>
          <w:color w:val="1A1A2E"/>
          <w:sz w:val="22"/>
          <w:szCs w:val="22"/>
        </w:rPr>
        <w:t xml:space="preserve"> (ICSC, Q1 2025), near a nine-year low, with particularly strong demand for </w:t>
      </w:r>
      <w:r>
        <w:rPr>
          <w:rFonts w:ascii="Calibri" w:eastAsia="Calibri" w:hAnsi="Calibri" w:cs="Calibri"/>
          <w:b/>
          <w:bCs/>
          <w:color w:val="1A1A2E"/>
          <w:sz w:val="22"/>
          <w:szCs w:val="22"/>
        </w:rPr>
        <w:t>open-air, experiential, and mixed-use formats</w:t>
      </w:r>
      <w:r>
        <w:rPr>
          <w:rFonts w:ascii="Calibri" w:eastAsia="Calibri" w:hAnsi="Calibri" w:cs="Calibri"/>
          <w:color w:val="1A1A2E"/>
          <w:sz w:val="22"/>
          <w:szCs w:val="22"/>
        </w:rPr>
        <w:t xml:space="preserve"> — the exact typology represented by this portfolio.</w:t>
      </w:r>
    </w:p>
    <w:p w14:paraId="2E02621F" w14:textId="77777777" w:rsidR="00745820" w:rsidRDefault="008D109D">
      <w:pPr>
        <w:spacing w:before="60" w:after="120" w:line="360" w:lineRule="auto"/>
      </w:pPr>
      <w:r>
        <w:rPr>
          <w:rFonts w:ascii="Calibri" w:eastAsia="Calibri" w:hAnsi="Calibri" w:cs="Calibri"/>
          <w:color w:val="1A1A2E"/>
          <w:sz w:val="22"/>
          <w:szCs w:val="22"/>
        </w:rPr>
        <w:t xml:space="preserve">Southeast Florida remains one of the strongest retail markets nationally, with grocery-anchored and experiential centers in the region reporting vacancy rates as low as </w:t>
      </w:r>
      <w:r>
        <w:rPr>
          <w:rFonts w:ascii="Calibri" w:eastAsia="Calibri" w:hAnsi="Calibri" w:cs="Calibri"/>
          <w:b/>
          <w:bCs/>
          <w:color w:val="1A1A2E"/>
          <w:sz w:val="22"/>
          <w:szCs w:val="22"/>
        </w:rPr>
        <w:t>4.8%</w:t>
      </w:r>
      <w:r>
        <w:rPr>
          <w:rFonts w:ascii="Calibri" w:eastAsia="Calibri" w:hAnsi="Calibri" w:cs="Calibri"/>
          <w:color w:val="1A1A2E"/>
          <w:sz w:val="22"/>
          <w:szCs w:val="22"/>
        </w:rPr>
        <w:t xml:space="preserve"> in comparable markets.</w:t>
      </w:r>
    </w:p>
    <w:p w14:paraId="2C7B05FF" w14:textId="77777777" w:rsidR="00745820" w:rsidRDefault="00745820">
      <w:pPr>
        <w:pBdr>
          <w:bottom w:val="single" w:sz="6" w:space="0" w:color="B8860B"/>
        </w:pBdr>
        <w:spacing w:before="240" w:after="240"/>
      </w:pPr>
    </w:p>
    <w:p w14:paraId="06A1CD19" w14:textId="77777777" w:rsidR="00745820" w:rsidRDefault="008D109D">
      <w:pPr>
        <w:pStyle w:val="Heading1"/>
        <w:spacing w:before="480" w:after="120" w:line="312" w:lineRule="auto"/>
      </w:pPr>
      <w:r>
        <w:rPr>
          <w:rFonts w:ascii="Calibri" w:eastAsia="Calibri" w:hAnsi="Calibri" w:cs="Calibri"/>
          <w:color w:val="0A1628"/>
        </w:rPr>
        <w:t>VI. Investment Highlights</w:t>
      </w:r>
    </w:p>
    <w:p w14:paraId="0845FA2C" w14:textId="77777777" w:rsidR="00745820" w:rsidRDefault="008D109D">
      <w:pPr>
        <w:spacing w:before="60" w:after="120" w:line="360" w:lineRule="auto"/>
      </w:pPr>
      <w:r>
        <w:rPr>
          <w:rFonts w:ascii="Calibri" w:eastAsia="Calibri" w:hAnsi="Calibri" w:cs="Calibri"/>
          <w:color w:val="1A1A2E"/>
          <w:sz w:val="22"/>
          <w:szCs w:val="22"/>
        </w:rPr>
        <w:t>The Mount Dora Downtown Portfolio presents a compelling investment opportunity supported by the following key attributes:</w:t>
      </w:r>
    </w:p>
    <w:p w14:paraId="7F9B2566" w14:textId="77777777" w:rsidR="00745820" w:rsidRDefault="00745820">
      <w:pPr>
        <w:spacing w:before="200"/>
      </w:pPr>
    </w:p>
    <w:tbl>
      <w:tblPr>
        <w:tblW w:w="5000" w:type="pct"/>
        <w:tblBorders>
          <w:top w:val="single" w:sz="4" w:space="0" w:color="E5E7EB"/>
          <w:left w:val="single" w:sz="4" w:space="0" w:color="E5E7EB"/>
          <w:bottom w:val="single" w:sz="4" w:space="0" w:color="E5E7EB"/>
          <w:right w:val="single" w:sz="4" w:space="0" w:color="E5E7EB"/>
          <w:insideH w:val="single" w:sz="4" w:space="0" w:color="E5E7EB"/>
          <w:insideV w:val="single" w:sz="4" w:space="0" w:color="E5E7EB"/>
        </w:tblBorders>
        <w:tblCellMar>
          <w:left w:w="10" w:type="dxa"/>
          <w:right w:w="10" w:type="dxa"/>
        </w:tblCellMar>
        <w:tblLook w:val="04A0" w:firstRow="1" w:lastRow="0" w:firstColumn="1" w:lastColumn="0" w:noHBand="0" w:noVBand="1"/>
      </w:tblPr>
      <w:tblGrid>
        <w:gridCol w:w="841"/>
        <w:gridCol w:w="8509"/>
      </w:tblGrid>
      <w:tr w:rsidR="00745820" w14:paraId="31143479" w14:textId="77777777">
        <w:trPr>
          <w:tblHeader/>
        </w:trPr>
        <w:tc>
          <w:tcPr>
            <w:tcW w:w="450" w:type="pct"/>
            <w:shd w:val="clear" w:color="auto" w:fill="B8860B"/>
            <w:tcMar>
              <w:top w:w="90" w:type="dxa"/>
              <w:left w:w="120" w:type="dxa"/>
              <w:bottom w:w="90" w:type="dxa"/>
              <w:right w:w="120" w:type="dxa"/>
            </w:tcMar>
          </w:tcPr>
          <w:p w14:paraId="7DF6BBD4" w14:textId="77777777" w:rsidR="00745820" w:rsidRDefault="008D109D">
            <w:r>
              <w:rPr>
                <w:rFonts w:ascii="Calibri" w:eastAsia="Calibri" w:hAnsi="Calibri" w:cs="Calibri"/>
                <w:b/>
                <w:bCs/>
                <w:color w:val="FFFFFF"/>
                <w:sz w:val="22"/>
                <w:szCs w:val="22"/>
              </w:rPr>
              <w:t>◆</w:t>
            </w:r>
          </w:p>
        </w:tc>
        <w:tc>
          <w:tcPr>
            <w:tcW w:w="4550" w:type="pct"/>
            <w:shd w:val="clear" w:color="auto" w:fill="B8860B"/>
            <w:tcMar>
              <w:top w:w="90" w:type="dxa"/>
              <w:left w:w="120" w:type="dxa"/>
              <w:bottom w:w="90" w:type="dxa"/>
              <w:right w:w="120" w:type="dxa"/>
            </w:tcMar>
          </w:tcPr>
          <w:p w14:paraId="7D90A4EE" w14:textId="77777777" w:rsidR="00745820" w:rsidRDefault="008D109D">
            <w:r>
              <w:rPr>
                <w:rFonts w:ascii="Calibri" w:eastAsia="Calibri" w:hAnsi="Calibri" w:cs="Calibri"/>
                <w:b/>
                <w:bCs/>
                <w:color w:val="FFFFFF"/>
                <w:sz w:val="22"/>
                <w:szCs w:val="22"/>
              </w:rPr>
              <w:t>Investment Highlight</w:t>
            </w:r>
          </w:p>
        </w:tc>
      </w:tr>
      <w:tr w:rsidR="00745820" w14:paraId="68611362" w14:textId="77777777">
        <w:tc>
          <w:tcPr>
            <w:tcW w:w="450" w:type="pct"/>
            <w:tcMar>
              <w:top w:w="90" w:type="dxa"/>
              <w:left w:w="120" w:type="dxa"/>
              <w:bottom w:w="90" w:type="dxa"/>
              <w:right w:w="120" w:type="dxa"/>
            </w:tcMar>
          </w:tcPr>
          <w:p w14:paraId="6F2DE317" w14:textId="77777777" w:rsidR="00745820" w:rsidRDefault="008D109D">
            <w:r>
              <w:rPr>
                <w:rFonts w:ascii="Calibri" w:eastAsia="Calibri" w:hAnsi="Calibri" w:cs="Calibri"/>
                <w:b/>
                <w:bCs/>
                <w:color w:val="B8860B"/>
                <w:sz w:val="22"/>
                <w:szCs w:val="22"/>
              </w:rPr>
              <w:t>1</w:t>
            </w:r>
          </w:p>
        </w:tc>
        <w:tc>
          <w:tcPr>
            <w:tcW w:w="4550" w:type="pct"/>
            <w:tcMar>
              <w:top w:w="90" w:type="dxa"/>
              <w:left w:w="120" w:type="dxa"/>
              <w:bottom w:w="90" w:type="dxa"/>
              <w:right w:w="120" w:type="dxa"/>
            </w:tcMar>
          </w:tcPr>
          <w:p w14:paraId="4E6DE117" w14:textId="041AB9E8" w:rsidR="00745820" w:rsidRDefault="008D109D">
            <w:r>
              <w:rPr>
                <w:rFonts w:ascii="Calibri" w:eastAsia="Calibri" w:hAnsi="Calibri" w:cs="Calibri"/>
                <w:b/>
                <w:bCs/>
                <w:color w:val="1A1A2E"/>
                <w:sz w:val="22"/>
                <w:szCs w:val="22"/>
              </w:rPr>
              <w:t>Fully Tenanted Four-Building Portfolio</w:t>
            </w:r>
            <w:r>
              <w:rPr>
                <w:rFonts w:ascii="Calibri" w:eastAsia="Calibri" w:hAnsi="Calibri" w:cs="Calibri"/>
                <w:color w:val="1A1A2E"/>
                <w:sz w:val="22"/>
                <w:szCs w:val="22"/>
              </w:rPr>
              <w:t xml:space="preserve"> — 100% occupied across </w:t>
            </w:r>
            <w:r w:rsidR="004E2889">
              <w:rPr>
                <w:rFonts w:ascii="Calibri" w:eastAsia="Calibri" w:hAnsi="Calibri" w:cs="Calibri"/>
                <w:color w:val="1A1A2E"/>
                <w:sz w:val="22"/>
                <w:szCs w:val="22"/>
              </w:rPr>
              <w:t>three</w:t>
            </w:r>
            <w:r>
              <w:rPr>
                <w:rFonts w:ascii="Calibri" w:eastAsia="Calibri" w:hAnsi="Calibri" w:cs="Calibri"/>
                <w:color w:val="1A1A2E"/>
                <w:sz w:val="22"/>
                <w:szCs w:val="22"/>
              </w:rPr>
              <w:t xml:space="preserve"> properties,</w:t>
            </w:r>
            <w:r w:rsidR="004E2889">
              <w:rPr>
                <w:rFonts w:ascii="Calibri" w:eastAsia="Calibri" w:hAnsi="Calibri" w:cs="Calibri"/>
                <w:color w:val="1A1A2E"/>
                <w:sz w:val="22"/>
                <w:szCs w:val="22"/>
              </w:rPr>
              <w:t xml:space="preserve"> </w:t>
            </w:r>
            <w:r w:rsidR="0061340E">
              <w:rPr>
                <w:rFonts w:ascii="Calibri" w:eastAsia="Calibri" w:hAnsi="Calibri" w:cs="Calibri"/>
                <w:color w:val="1A1A2E"/>
                <w:sz w:val="22"/>
                <w:szCs w:val="22"/>
              </w:rPr>
              <w:t>80</w:t>
            </w:r>
            <w:r w:rsidR="004E2889">
              <w:rPr>
                <w:rFonts w:ascii="Calibri" w:eastAsia="Calibri" w:hAnsi="Calibri" w:cs="Calibri"/>
                <w:color w:val="1A1A2E"/>
                <w:sz w:val="22"/>
                <w:szCs w:val="22"/>
              </w:rPr>
              <w:t>% on the fourth property,</w:t>
            </w:r>
            <w:r>
              <w:rPr>
                <w:rFonts w:ascii="Calibri" w:eastAsia="Calibri" w:hAnsi="Calibri" w:cs="Calibri"/>
                <w:color w:val="1A1A2E"/>
                <w:sz w:val="22"/>
                <w:szCs w:val="22"/>
              </w:rPr>
              <w:t xml:space="preserve"> providing immediate cash flow with no lease-up risk.</w:t>
            </w:r>
          </w:p>
        </w:tc>
      </w:tr>
      <w:tr w:rsidR="00745820" w14:paraId="5C02153A" w14:textId="77777777">
        <w:tc>
          <w:tcPr>
            <w:tcW w:w="450" w:type="pct"/>
            <w:tcMar>
              <w:top w:w="90" w:type="dxa"/>
              <w:left w:w="120" w:type="dxa"/>
              <w:bottom w:w="90" w:type="dxa"/>
              <w:right w:w="120" w:type="dxa"/>
            </w:tcMar>
          </w:tcPr>
          <w:p w14:paraId="6F31833F" w14:textId="77777777" w:rsidR="00745820" w:rsidRDefault="008D109D">
            <w:r>
              <w:rPr>
                <w:rFonts w:ascii="Calibri" w:eastAsia="Calibri" w:hAnsi="Calibri" w:cs="Calibri"/>
                <w:b/>
                <w:bCs/>
                <w:color w:val="B8860B"/>
                <w:sz w:val="22"/>
                <w:szCs w:val="22"/>
              </w:rPr>
              <w:t>2</w:t>
            </w:r>
          </w:p>
        </w:tc>
        <w:tc>
          <w:tcPr>
            <w:tcW w:w="4550" w:type="pct"/>
            <w:tcMar>
              <w:top w:w="90" w:type="dxa"/>
              <w:left w:w="120" w:type="dxa"/>
              <w:bottom w:w="90" w:type="dxa"/>
              <w:right w:w="120" w:type="dxa"/>
            </w:tcMar>
          </w:tcPr>
          <w:p w14:paraId="5984F043" w14:textId="77777777" w:rsidR="00745820" w:rsidRDefault="008D109D">
            <w:r>
              <w:rPr>
                <w:rFonts w:ascii="Calibri" w:eastAsia="Calibri" w:hAnsi="Calibri" w:cs="Calibri"/>
                <w:b/>
                <w:bCs/>
                <w:color w:val="1A1A2E"/>
                <w:sz w:val="22"/>
                <w:szCs w:val="22"/>
              </w:rPr>
              <w:t>17,817 SF of Diversified Commercial Space</w:t>
            </w:r>
            <w:r>
              <w:rPr>
                <w:rFonts w:ascii="Calibri" w:eastAsia="Calibri" w:hAnsi="Calibri" w:cs="Calibri"/>
                <w:color w:val="1A1A2E"/>
                <w:sz w:val="22"/>
                <w:szCs w:val="22"/>
              </w:rPr>
              <w:t xml:space="preserve"> — Scale and diversification that is difficult to assemble through individual property transactions.</w:t>
            </w:r>
          </w:p>
        </w:tc>
      </w:tr>
      <w:tr w:rsidR="00745820" w14:paraId="3A11F357" w14:textId="77777777">
        <w:tc>
          <w:tcPr>
            <w:tcW w:w="450" w:type="pct"/>
            <w:tcMar>
              <w:top w:w="90" w:type="dxa"/>
              <w:left w:w="120" w:type="dxa"/>
              <w:bottom w:w="90" w:type="dxa"/>
              <w:right w:w="120" w:type="dxa"/>
            </w:tcMar>
          </w:tcPr>
          <w:p w14:paraId="56F53892" w14:textId="77777777" w:rsidR="00745820" w:rsidRDefault="008D109D">
            <w:r>
              <w:rPr>
                <w:rFonts w:ascii="Calibri" w:eastAsia="Calibri" w:hAnsi="Calibri" w:cs="Calibri"/>
                <w:b/>
                <w:bCs/>
                <w:color w:val="B8860B"/>
                <w:sz w:val="22"/>
                <w:szCs w:val="22"/>
              </w:rPr>
              <w:t>3</w:t>
            </w:r>
          </w:p>
        </w:tc>
        <w:tc>
          <w:tcPr>
            <w:tcW w:w="4550" w:type="pct"/>
            <w:tcMar>
              <w:top w:w="90" w:type="dxa"/>
              <w:left w:w="120" w:type="dxa"/>
              <w:bottom w:w="90" w:type="dxa"/>
              <w:right w:w="120" w:type="dxa"/>
            </w:tcMar>
          </w:tcPr>
          <w:p w14:paraId="18882577" w14:textId="62EB46EC" w:rsidR="00745820" w:rsidRDefault="008D109D">
            <w:r>
              <w:rPr>
                <w:rFonts w:ascii="Calibri" w:eastAsia="Calibri" w:hAnsi="Calibri" w:cs="Calibri"/>
                <w:b/>
                <w:bCs/>
                <w:color w:val="1A1A2E"/>
                <w:sz w:val="22"/>
                <w:szCs w:val="22"/>
              </w:rPr>
              <w:t>3</w:t>
            </w:r>
            <w:r w:rsidR="00C428A2">
              <w:rPr>
                <w:rFonts w:ascii="Calibri" w:eastAsia="Calibri" w:hAnsi="Calibri" w:cs="Calibri"/>
                <w:b/>
                <w:bCs/>
                <w:color w:val="1A1A2E"/>
                <w:sz w:val="22"/>
                <w:szCs w:val="22"/>
              </w:rPr>
              <w:t>1</w:t>
            </w:r>
            <w:r>
              <w:rPr>
                <w:rFonts w:ascii="Calibri" w:eastAsia="Calibri" w:hAnsi="Calibri" w:cs="Calibri"/>
                <w:b/>
                <w:bCs/>
                <w:color w:val="1A1A2E"/>
                <w:sz w:val="22"/>
                <w:szCs w:val="22"/>
              </w:rPr>
              <w:t xml:space="preserve"> Dedicated Parking Spaces</w:t>
            </w:r>
            <w:r>
              <w:rPr>
                <w:rFonts w:ascii="Calibri" w:eastAsia="Calibri" w:hAnsi="Calibri" w:cs="Calibri"/>
                <w:color w:val="1A1A2E"/>
                <w:sz w:val="22"/>
                <w:szCs w:val="22"/>
              </w:rPr>
              <w:t xml:space="preserve"> — A significant competitive advantage in a historic downtown environment where parking is scarce.</w:t>
            </w:r>
          </w:p>
        </w:tc>
      </w:tr>
      <w:tr w:rsidR="00745820" w14:paraId="3774E2E7" w14:textId="77777777">
        <w:tc>
          <w:tcPr>
            <w:tcW w:w="450" w:type="pct"/>
            <w:tcMar>
              <w:top w:w="90" w:type="dxa"/>
              <w:left w:w="120" w:type="dxa"/>
              <w:bottom w:w="90" w:type="dxa"/>
              <w:right w:w="120" w:type="dxa"/>
            </w:tcMar>
          </w:tcPr>
          <w:p w14:paraId="5DB1116B" w14:textId="77777777" w:rsidR="00745820" w:rsidRDefault="008D109D">
            <w:r>
              <w:rPr>
                <w:rFonts w:ascii="Calibri" w:eastAsia="Calibri" w:hAnsi="Calibri" w:cs="Calibri"/>
                <w:b/>
                <w:bCs/>
                <w:color w:val="B8860B"/>
                <w:sz w:val="22"/>
                <w:szCs w:val="22"/>
              </w:rPr>
              <w:t>4</w:t>
            </w:r>
          </w:p>
        </w:tc>
        <w:tc>
          <w:tcPr>
            <w:tcW w:w="4550" w:type="pct"/>
            <w:tcMar>
              <w:top w:w="90" w:type="dxa"/>
              <w:left w:w="120" w:type="dxa"/>
              <w:bottom w:w="90" w:type="dxa"/>
              <w:right w:w="120" w:type="dxa"/>
            </w:tcMar>
          </w:tcPr>
          <w:p w14:paraId="6CF61447" w14:textId="77777777" w:rsidR="00745820" w:rsidRDefault="008D109D">
            <w:r>
              <w:rPr>
                <w:rFonts w:ascii="Calibri" w:eastAsia="Calibri" w:hAnsi="Calibri" w:cs="Calibri"/>
                <w:b/>
                <w:bCs/>
                <w:color w:val="1A1A2E"/>
                <w:sz w:val="22"/>
                <w:szCs w:val="22"/>
              </w:rPr>
              <w:t>Unique Experiential Campus with Shared Garden Courtyard</w:t>
            </w:r>
            <w:r>
              <w:rPr>
                <w:rFonts w:ascii="Calibri" w:eastAsia="Calibri" w:hAnsi="Calibri" w:cs="Calibri"/>
                <w:color w:val="1A1A2E"/>
                <w:sz w:val="22"/>
                <w:szCs w:val="22"/>
              </w:rPr>
              <w:t xml:space="preserve"> — A differentiated asset that aligns with institutional REIT strategies around placemaking and experiential retail.</w:t>
            </w:r>
          </w:p>
        </w:tc>
      </w:tr>
      <w:tr w:rsidR="00745820" w14:paraId="79E317AE" w14:textId="77777777">
        <w:tc>
          <w:tcPr>
            <w:tcW w:w="450" w:type="pct"/>
            <w:tcMar>
              <w:top w:w="90" w:type="dxa"/>
              <w:left w:w="120" w:type="dxa"/>
              <w:bottom w:w="90" w:type="dxa"/>
              <w:right w:w="120" w:type="dxa"/>
            </w:tcMar>
          </w:tcPr>
          <w:p w14:paraId="1A317C2E" w14:textId="77777777" w:rsidR="00745820" w:rsidRDefault="008D109D">
            <w:r>
              <w:rPr>
                <w:rFonts w:ascii="Calibri" w:eastAsia="Calibri" w:hAnsi="Calibri" w:cs="Calibri"/>
                <w:b/>
                <w:bCs/>
                <w:color w:val="B8860B"/>
                <w:sz w:val="22"/>
                <w:szCs w:val="22"/>
              </w:rPr>
              <w:t>5</w:t>
            </w:r>
          </w:p>
        </w:tc>
        <w:tc>
          <w:tcPr>
            <w:tcW w:w="4550" w:type="pct"/>
            <w:tcMar>
              <w:top w:w="90" w:type="dxa"/>
              <w:left w:w="120" w:type="dxa"/>
              <w:bottom w:w="90" w:type="dxa"/>
              <w:right w:w="120" w:type="dxa"/>
            </w:tcMar>
          </w:tcPr>
          <w:p w14:paraId="7775B664" w14:textId="77777777" w:rsidR="00745820" w:rsidRDefault="008D109D">
            <w:r>
              <w:rPr>
                <w:rFonts w:ascii="Calibri" w:eastAsia="Calibri" w:hAnsi="Calibri" w:cs="Calibri"/>
                <w:b/>
                <w:bCs/>
                <w:color w:val="1A1A2E"/>
                <w:sz w:val="22"/>
                <w:szCs w:val="22"/>
              </w:rPr>
              <w:t>Diversified Tenant Base</w:t>
            </w:r>
            <w:r>
              <w:rPr>
                <w:rFonts w:ascii="Calibri" w:eastAsia="Calibri" w:hAnsi="Calibri" w:cs="Calibri"/>
                <w:color w:val="1A1A2E"/>
                <w:sz w:val="22"/>
                <w:szCs w:val="22"/>
              </w:rPr>
              <w:t xml:space="preserve"> — Revenue streams span food &amp; beverage, specialty retail, and professional office, providing natural hedging against sector-specific risk.</w:t>
            </w:r>
          </w:p>
        </w:tc>
      </w:tr>
      <w:tr w:rsidR="00745820" w14:paraId="53646250" w14:textId="77777777">
        <w:tc>
          <w:tcPr>
            <w:tcW w:w="450" w:type="pct"/>
            <w:tcMar>
              <w:top w:w="90" w:type="dxa"/>
              <w:left w:w="120" w:type="dxa"/>
              <w:bottom w:w="90" w:type="dxa"/>
              <w:right w:w="120" w:type="dxa"/>
            </w:tcMar>
          </w:tcPr>
          <w:p w14:paraId="18106A12" w14:textId="77777777" w:rsidR="00745820" w:rsidRDefault="008D109D">
            <w:r>
              <w:rPr>
                <w:rFonts w:ascii="Calibri" w:eastAsia="Calibri" w:hAnsi="Calibri" w:cs="Calibri"/>
                <w:b/>
                <w:bCs/>
                <w:color w:val="B8860B"/>
                <w:sz w:val="22"/>
                <w:szCs w:val="22"/>
              </w:rPr>
              <w:t>6</w:t>
            </w:r>
          </w:p>
        </w:tc>
        <w:tc>
          <w:tcPr>
            <w:tcW w:w="4550" w:type="pct"/>
            <w:tcMar>
              <w:top w:w="90" w:type="dxa"/>
              <w:left w:w="120" w:type="dxa"/>
              <w:bottom w:w="90" w:type="dxa"/>
              <w:right w:w="120" w:type="dxa"/>
            </w:tcMar>
          </w:tcPr>
          <w:p w14:paraId="48C1F1C1" w14:textId="77777777" w:rsidR="00745820" w:rsidRDefault="008D109D">
            <w:r>
              <w:rPr>
                <w:rFonts w:ascii="Calibri" w:eastAsia="Calibri" w:hAnsi="Calibri" w:cs="Calibri"/>
                <w:b/>
                <w:bCs/>
                <w:color w:val="1A1A2E"/>
                <w:sz w:val="22"/>
                <w:szCs w:val="22"/>
              </w:rPr>
              <w:t>Prime Downtown Location in a Nationally Recognized Tourist Destination</w:t>
            </w:r>
            <w:r>
              <w:rPr>
                <w:rFonts w:ascii="Calibri" w:eastAsia="Calibri" w:hAnsi="Calibri" w:cs="Calibri"/>
                <w:color w:val="1A1A2E"/>
                <w:sz w:val="22"/>
                <w:szCs w:val="22"/>
              </w:rPr>
              <w:t xml:space="preserve"> — Donnelly Street frontage and proximity to 30+ annual festivals generating tens of thousands of visitors.</w:t>
            </w:r>
          </w:p>
        </w:tc>
      </w:tr>
      <w:tr w:rsidR="00745820" w14:paraId="4B29B3EF" w14:textId="77777777">
        <w:tc>
          <w:tcPr>
            <w:tcW w:w="450" w:type="pct"/>
            <w:tcMar>
              <w:top w:w="90" w:type="dxa"/>
              <w:left w:w="120" w:type="dxa"/>
              <w:bottom w:w="90" w:type="dxa"/>
              <w:right w:w="120" w:type="dxa"/>
            </w:tcMar>
          </w:tcPr>
          <w:p w14:paraId="4D1C71CD" w14:textId="77777777" w:rsidR="00745820" w:rsidRDefault="008D109D">
            <w:r>
              <w:rPr>
                <w:rFonts w:ascii="Calibri" w:eastAsia="Calibri" w:hAnsi="Calibri" w:cs="Calibri"/>
                <w:b/>
                <w:bCs/>
                <w:color w:val="B8860B"/>
                <w:sz w:val="22"/>
                <w:szCs w:val="22"/>
              </w:rPr>
              <w:t>7</w:t>
            </w:r>
          </w:p>
        </w:tc>
        <w:tc>
          <w:tcPr>
            <w:tcW w:w="4550" w:type="pct"/>
            <w:tcMar>
              <w:top w:w="90" w:type="dxa"/>
              <w:left w:w="120" w:type="dxa"/>
              <w:bottom w:w="90" w:type="dxa"/>
              <w:right w:w="120" w:type="dxa"/>
            </w:tcMar>
          </w:tcPr>
          <w:p w14:paraId="57469E09" w14:textId="77777777" w:rsidR="00745820" w:rsidRDefault="008D109D">
            <w:r>
              <w:rPr>
                <w:rFonts w:ascii="Calibri" w:eastAsia="Calibri" w:hAnsi="Calibri" w:cs="Calibri"/>
                <w:b/>
                <w:bCs/>
                <w:color w:val="1A1A2E"/>
                <w:sz w:val="22"/>
                <w:szCs w:val="22"/>
              </w:rPr>
              <w:t>Alignment with Experiential Retail Macro Trends</w:t>
            </w:r>
            <w:r>
              <w:rPr>
                <w:rFonts w:ascii="Calibri" w:eastAsia="Calibri" w:hAnsi="Calibri" w:cs="Calibri"/>
                <w:color w:val="1A1A2E"/>
                <w:sz w:val="22"/>
                <w:szCs w:val="22"/>
              </w:rPr>
              <w:t xml:space="preserve"> — 81% of consumers prefer experience-driven retail environments (CBRE); 60% of new retail construction is open-air/mixed-use.</w:t>
            </w:r>
          </w:p>
        </w:tc>
      </w:tr>
      <w:tr w:rsidR="00745820" w14:paraId="6C6741BC" w14:textId="77777777">
        <w:tc>
          <w:tcPr>
            <w:tcW w:w="450" w:type="pct"/>
            <w:tcMar>
              <w:top w:w="90" w:type="dxa"/>
              <w:left w:w="120" w:type="dxa"/>
              <w:bottom w:w="90" w:type="dxa"/>
              <w:right w:w="120" w:type="dxa"/>
            </w:tcMar>
          </w:tcPr>
          <w:p w14:paraId="19E8AA8C" w14:textId="77777777" w:rsidR="00745820" w:rsidRDefault="008D109D">
            <w:r>
              <w:rPr>
                <w:rFonts w:ascii="Calibri" w:eastAsia="Calibri" w:hAnsi="Calibri" w:cs="Calibri"/>
                <w:b/>
                <w:bCs/>
                <w:color w:val="B8860B"/>
                <w:sz w:val="22"/>
                <w:szCs w:val="22"/>
              </w:rPr>
              <w:t>8</w:t>
            </w:r>
          </w:p>
        </w:tc>
        <w:tc>
          <w:tcPr>
            <w:tcW w:w="4550" w:type="pct"/>
            <w:tcMar>
              <w:top w:w="90" w:type="dxa"/>
              <w:left w:w="120" w:type="dxa"/>
              <w:bottom w:w="90" w:type="dxa"/>
              <w:right w:w="120" w:type="dxa"/>
            </w:tcMar>
          </w:tcPr>
          <w:p w14:paraId="0DE384B8" w14:textId="77777777" w:rsidR="00745820" w:rsidRDefault="008D109D">
            <w:r>
              <w:rPr>
                <w:rFonts w:ascii="Calibri" w:eastAsia="Calibri" w:hAnsi="Calibri" w:cs="Calibri"/>
                <w:b/>
                <w:bCs/>
                <w:color w:val="1A1A2E"/>
                <w:sz w:val="22"/>
                <w:szCs w:val="22"/>
              </w:rPr>
              <w:t>Multiple Value-Add Opportunities</w:t>
            </w:r>
            <w:r>
              <w:rPr>
                <w:rFonts w:ascii="Calibri" w:eastAsia="Calibri" w:hAnsi="Calibri" w:cs="Calibri"/>
                <w:color w:val="1A1A2E"/>
                <w:sz w:val="22"/>
                <w:szCs w:val="22"/>
              </w:rPr>
              <w:t xml:space="preserve"> — Rent optimization, campus branding, event programming in the garden courtyard, and potential office-to-retail conversion at 851 N. Donnelly.</w:t>
            </w:r>
          </w:p>
        </w:tc>
      </w:tr>
      <w:tr w:rsidR="00745820" w14:paraId="49DD5325" w14:textId="77777777">
        <w:tc>
          <w:tcPr>
            <w:tcW w:w="450" w:type="pct"/>
            <w:tcMar>
              <w:top w:w="90" w:type="dxa"/>
              <w:left w:w="120" w:type="dxa"/>
              <w:bottom w:w="90" w:type="dxa"/>
              <w:right w:w="120" w:type="dxa"/>
            </w:tcMar>
          </w:tcPr>
          <w:p w14:paraId="5051C0A8" w14:textId="77777777" w:rsidR="00745820" w:rsidRDefault="008D109D">
            <w:r>
              <w:rPr>
                <w:rFonts w:ascii="Calibri" w:eastAsia="Calibri" w:hAnsi="Calibri" w:cs="Calibri"/>
                <w:b/>
                <w:bCs/>
                <w:color w:val="B8860B"/>
                <w:sz w:val="22"/>
                <w:szCs w:val="22"/>
              </w:rPr>
              <w:t>9</w:t>
            </w:r>
          </w:p>
        </w:tc>
        <w:tc>
          <w:tcPr>
            <w:tcW w:w="4550" w:type="pct"/>
            <w:tcMar>
              <w:top w:w="90" w:type="dxa"/>
              <w:left w:w="120" w:type="dxa"/>
              <w:bottom w:w="90" w:type="dxa"/>
              <w:right w:w="120" w:type="dxa"/>
            </w:tcMar>
          </w:tcPr>
          <w:p w14:paraId="6B58D481" w14:textId="77777777" w:rsidR="00745820" w:rsidRDefault="008D109D">
            <w:r>
              <w:rPr>
                <w:rFonts w:ascii="Calibri" w:eastAsia="Calibri" w:hAnsi="Calibri" w:cs="Calibri"/>
                <w:b/>
                <w:bCs/>
                <w:color w:val="1A1A2E"/>
                <w:sz w:val="22"/>
                <w:szCs w:val="22"/>
              </w:rPr>
              <w:t>Strong Demographic Tailwinds</w:t>
            </w:r>
            <w:r>
              <w:rPr>
                <w:rFonts w:ascii="Calibri" w:eastAsia="Calibri" w:hAnsi="Calibri" w:cs="Calibri"/>
                <w:color w:val="1A1A2E"/>
                <w:sz w:val="22"/>
                <w:szCs w:val="22"/>
              </w:rPr>
              <w:t xml:space="preserve"> — Lake County population projected to grow from 444,204 to nearly 500,000 by 2030; affluent retiree migration driving discretionary spending.</w:t>
            </w:r>
          </w:p>
        </w:tc>
      </w:tr>
      <w:tr w:rsidR="00745820" w14:paraId="658B80E9" w14:textId="77777777">
        <w:tc>
          <w:tcPr>
            <w:tcW w:w="450" w:type="pct"/>
            <w:tcMar>
              <w:top w:w="90" w:type="dxa"/>
              <w:left w:w="120" w:type="dxa"/>
              <w:bottom w:w="90" w:type="dxa"/>
              <w:right w:w="120" w:type="dxa"/>
            </w:tcMar>
          </w:tcPr>
          <w:p w14:paraId="4ACB9D10" w14:textId="77777777" w:rsidR="00745820" w:rsidRDefault="008D109D">
            <w:r>
              <w:rPr>
                <w:rFonts w:ascii="Calibri" w:eastAsia="Calibri" w:hAnsi="Calibri" w:cs="Calibri"/>
                <w:b/>
                <w:bCs/>
                <w:color w:val="B8860B"/>
                <w:sz w:val="22"/>
                <w:szCs w:val="22"/>
              </w:rPr>
              <w:t>10</w:t>
            </w:r>
          </w:p>
        </w:tc>
        <w:tc>
          <w:tcPr>
            <w:tcW w:w="4550" w:type="pct"/>
            <w:tcMar>
              <w:top w:w="90" w:type="dxa"/>
              <w:left w:w="120" w:type="dxa"/>
              <w:bottom w:w="90" w:type="dxa"/>
              <w:right w:w="120" w:type="dxa"/>
            </w:tcMar>
          </w:tcPr>
          <w:p w14:paraId="00555ADD" w14:textId="77777777" w:rsidR="00745820" w:rsidRDefault="008D109D">
            <w:r>
              <w:rPr>
                <w:rFonts w:ascii="Calibri" w:eastAsia="Calibri" w:hAnsi="Calibri" w:cs="Calibri"/>
                <w:b/>
                <w:bCs/>
                <w:color w:val="1A1A2E"/>
                <w:sz w:val="22"/>
                <w:szCs w:val="22"/>
              </w:rPr>
              <w:t>Portfolio Scale &amp; Operational Efficiencies</w:t>
            </w:r>
            <w:r>
              <w:rPr>
                <w:rFonts w:ascii="Calibri" w:eastAsia="Calibri" w:hAnsi="Calibri" w:cs="Calibri"/>
                <w:color w:val="1A1A2E"/>
                <w:sz w:val="22"/>
                <w:szCs w:val="22"/>
              </w:rPr>
              <w:t xml:space="preserve"> — Contiguous downtown portfolio enables centralized management, shared infrastructure, and coordinated tenant strategy.</w:t>
            </w:r>
          </w:p>
        </w:tc>
      </w:tr>
    </w:tbl>
    <w:p w14:paraId="33DD666E" w14:textId="77777777" w:rsidR="00745820" w:rsidRDefault="00745820">
      <w:pPr>
        <w:spacing w:after="200"/>
      </w:pPr>
    </w:p>
    <w:p w14:paraId="4FAF4E85" w14:textId="77777777" w:rsidR="00745820" w:rsidRDefault="00745820">
      <w:pPr>
        <w:pBdr>
          <w:bottom w:val="single" w:sz="6" w:space="0" w:color="B8860B"/>
        </w:pBdr>
        <w:spacing w:before="240" w:after="240"/>
      </w:pPr>
    </w:p>
    <w:p w14:paraId="05525797" w14:textId="77777777" w:rsidR="005131D1" w:rsidRDefault="005131D1">
      <w:pPr>
        <w:pStyle w:val="Heading1"/>
        <w:spacing w:before="480" w:after="120" w:line="312" w:lineRule="auto"/>
        <w:rPr>
          <w:rFonts w:ascii="Calibri" w:eastAsia="Calibri" w:hAnsi="Calibri" w:cs="Calibri"/>
          <w:color w:val="0A1628"/>
        </w:rPr>
      </w:pPr>
    </w:p>
    <w:p w14:paraId="136425E0" w14:textId="1B401AD7" w:rsidR="00745820" w:rsidRDefault="008D109D">
      <w:pPr>
        <w:pStyle w:val="Heading1"/>
        <w:spacing w:before="480" w:after="120" w:line="312" w:lineRule="auto"/>
      </w:pPr>
      <w:r>
        <w:rPr>
          <w:rFonts w:ascii="Calibri" w:eastAsia="Calibri" w:hAnsi="Calibri" w:cs="Calibri"/>
          <w:color w:val="0A1628"/>
        </w:rPr>
        <w:t>VII. Disclaimer &amp; Confidentiality Notice</w:t>
      </w:r>
    </w:p>
    <w:p w14:paraId="040DC8E3" w14:textId="77777777" w:rsidR="00745820" w:rsidRDefault="008D109D">
      <w:pPr>
        <w:pStyle w:val="Heading2"/>
        <w:spacing w:before="360" w:after="120" w:line="312" w:lineRule="auto"/>
      </w:pPr>
      <w:r>
        <w:rPr>
          <w:rFonts w:ascii="Calibri" w:eastAsia="Calibri" w:hAnsi="Calibri" w:cs="Calibri"/>
          <w:color w:val="0A1628"/>
        </w:rPr>
        <w:t>Disclaimer</w:t>
      </w:r>
    </w:p>
    <w:p w14:paraId="1FE05D05" w14:textId="77777777" w:rsidR="00745820" w:rsidRDefault="008D109D">
      <w:pPr>
        <w:spacing w:before="60" w:after="120" w:line="336" w:lineRule="auto"/>
      </w:pPr>
      <w:r>
        <w:rPr>
          <w:rFonts w:ascii="Calibri" w:eastAsia="Calibri" w:hAnsi="Calibri" w:cs="Calibri"/>
          <w:color w:val="666666"/>
          <w:sz w:val="18"/>
          <w:szCs w:val="18"/>
        </w:rPr>
        <w:t>This Investment Offering Memorandum (the “Memorandum”) has been prepared solely for informational purposes and does not constitute an offer to sell, or a solicitation of an offer to buy, any securities or any interest in the properties described herein. No offering is made except by means of a definitive offering document and related subscription agreement. Any decision to invest must be based on the information contained in such definitive documentation.</w:t>
      </w:r>
    </w:p>
    <w:p w14:paraId="7D5D5743" w14:textId="77777777" w:rsidR="00745820" w:rsidRDefault="008D109D">
      <w:pPr>
        <w:spacing w:before="60" w:after="120" w:line="336" w:lineRule="auto"/>
      </w:pPr>
      <w:r>
        <w:rPr>
          <w:rFonts w:ascii="Calibri" w:eastAsia="Calibri" w:hAnsi="Calibri" w:cs="Calibri"/>
          <w:color w:val="666666"/>
          <w:sz w:val="18"/>
          <w:szCs w:val="18"/>
        </w:rPr>
        <w:t>The information contained in this Memorandum has been obtained from sources believed to be reliable; however, no representation or warranty, express or implied, is made as to the accuracy, completeness, or timeliness of such information. All financial projections, estimates, and forward-looking statements contained herein are based on assumptions that are inherently uncertain and subject to significant business, economic, and competitive risks, many of which are beyond the control of the issuer. Actual results may differ materially from those projected.</w:t>
      </w:r>
    </w:p>
    <w:p w14:paraId="00E9AC5D" w14:textId="77777777" w:rsidR="00745820" w:rsidRDefault="008D109D">
      <w:pPr>
        <w:spacing w:before="60" w:after="120" w:line="336" w:lineRule="auto"/>
      </w:pPr>
      <w:r>
        <w:rPr>
          <w:rFonts w:ascii="Calibri" w:eastAsia="Calibri" w:hAnsi="Calibri" w:cs="Calibri"/>
          <w:color w:val="666666"/>
          <w:sz w:val="18"/>
          <w:szCs w:val="18"/>
        </w:rPr>
        <w:t>Prospective investors are advised to conduct their own independent due diligence, including but not limited to legal, tax, financial, and environmental review, prior to making any investment decision. Past performance is not indicative of future results. There can be no assurance that any investment will achieve its objectives or that investors will receive a return of their capital.</w:t>
      </w:r>
    </w:p>
    <w:p w14:paraId="1F862B8D" w14:textId="77777777" w:rsidR="00745820" w:rsidRDefault="008D109D">
      <w:pPr>
        <w:spacing w:before="60" w:after="120" w:line="336" w:lineRule="auto"/>
      </w:pPr>
      <w:r>
        <w:rPr>
          <w:rFonts w:ascii="Calibri" w:eastAsia="Calibri" w:hAnsi="Calibri" w:cs="Calibri"/>
          <w:color w:val="666666"/>
          <w:sz w:val="18"/>
          <w:szCs w:val="18"/>
        </w:rPr>
        <w:t>Neither the issuer nor any of its affiliates, agents, or representatives shall have any liability for any loss or damage arising from the use of, or reliance on, any information contained in this Memorandum.</w:t>
      </w:r>
    </w:p>
    <w:p w14:paraId="794189CD" w14:textId="77777777" w:rsidR="00745820" w:rsidRDefault="008D109D">
      <w:pPr>
        <w:pStyle w:val="Heading2"/>
        <w:spacing w:before="360" w:after="120" w:line="312" w:lineRule="auto"/>
      </w:pPr>
      <w:r>
        <w:rPr>
          <w:rFonts w:ascii="Calibri" w:eastAsia="Calibri" w:hAnsi="Calibri" w:cs="Calibri"/>
          <w:color w:val="0A1628"/>
        </w:rPr>
        <w:t>Confidentiality Notice</w:t>
      </w:r>
    </w:p>
    <w:p w14:paraId="6250710C" w14:textId="77777777" w:rsidR="00745820" w:rsidRDefault="008D109D">
      <w:pPr>
        <w:spacing w:before="60" w:after="120" w:line="336" w:lineRule="auto"/>
      </w:pPr>
      <w:r>
        <w:rPr>
          <w:rFonts w:ascii="Calibri" w:eastAsia="Calibri" w:hAnsi="Calibri" w:cs="Calibri"/>
          <w:color w:val="666666"/>
          <w:sz w:val="18"/>
          <w:szCs w:val="18"/>
        </w:rPr>
        <w:t>This Memorandum is strictly confidential and is intended solely for the use of the party to whom it has been delivered. The recipient agrees not to reproduce, distribute, or disclose this Memorandum, in whole or in part, to any third party without the prior written consent of the issuer. By accepting delivery of this Memorandum, the recipient agrees to return it and all related materials to the issuer upon request and to keep the contents herein strictly confidential.</w:t>
      </w:r>
    </w:p>
    <w:p w14:paraId="430DCD6C" w14:textId="77777777" w:rsidR="00745820" w:rsidRDefault="008D109D">
      <w:pPr>
        <w:spacing w:before="60" w:after="120" w:line="336" w:lineRule="auto"/>
      </w:pPr>
      <w:r>
        <w:rPr>
          <w:rFonts w:ascii="Calibri" w:eastAsia="Calibri" w:hAnsi="Calibri" w:cs="Calibri"/>
          <w:color w:val="666666"/>
          <w:sz w:val="18"/>
          <w:szCs w:val="18"/>
        </w:rPr>
        <w:t>This Memorandum shall remain the property of the issuer at all times. Unauthorized reproduction or distribution of this document may constitute a violation of applicable securities laws.</w:t>
      </w:r>
    </w:p>
    <w:p w14:paraId="038E8FF0" w14:textId="77777777" w:rsidR="00745820" w:rsidRDefault="00745820">
      <w:pPr>
        <w:pBdr>
          <w:bottom w:val="single" w:sz="6" w:space="0" w:color="B8860B"/>
        </w:pBdr>
        <w:spacing w:before="240" w:after="240"/>
      </w:pPr>
    </w:p>
    <w:p w14:paraId="0F34ACA7" w14:textId="77777777" w:rsidR="00745820" w:rsidRDefault="008D109D">
      <w:pPr>
        <w:spacing w:before="60" w:after="120" w:line="360" w:lineRule="auto"/>
        <w:jc w:val="center"/>
      </w:pPr>
      <w:r>
        <w:rPr>
          <w:rFonts w:ascii="Calibri" w:eastAsia="Calibri" w:hAnsi="Calibri" w:cs="Calibri"/>
          <w:color w:val="999999"/>
          <w:sz w:val="22"/>
          <w:szCs w:val="22"/>
        </w:rPr>
        <w:t>© 2026  |  Mount Dora Downtown Portfolio  |  All Rights Reserved</w:t>
      </w:r>
    </w:p>
    <w:p w14:paraId="72D03A90" w14:textId="77777777" w:rsidR="00745820" w:rsidRDefault="008D109D">
      <w:pPr>
        <w:spacing w:before="60" w:after="120" w:line="360" w:lineRule="auto"/>
        <w:jc w:val="center"/>
      </w:pPr>
      <w:r>
        <w:rPr>
          <w:rFonts w:ascii="Calibri" w:eastAsia="Calibri" w:hAnsi="Calibri" w:cs="Calibri"/>
          <w:color w:val="999999"/>
          <w:sz w:val="22"/>
          <w:szCs w:val="22"/>
        </w:rPr>
        <w:t>Prepared May 2026  |  Confidential</w:t>
      </w:r>
    </w:p>
    <w:p w14:paraId="3963937C" w14:textId="77777777" w:rsidR="00745820" w:rsidRDefault="00745820">
      <w:pPr>
        <w:pBdr>
          <w:bottom w:val="single" w:sz="6" w:space="0" w:color="1A2A3A"/>
        </w:pBdr>
        <w:spacing w:before="240" w:after="240"/>
      </w:pPr>
    </w:p>
    <w:p w14:paraId="3C1DC88D" w14:textId="066CE60F" w:rsidR="00745820" w:rsidRDefault="008D109D">
      <w:pPr>
        <w:spacing w:before="200" w:after="200"/>
        <w:jc w:val="center"/>
      </w:pPr>
      <w:r>
        <w:rPr>
          <w:noProof/>
        </w:rPr>
        <w:drawing>
          <wp:inline distT="0" distB="0" distL="0" distR="0" wp14:anchorId="1C281BD8" wp14:editId="49C3D698">
            <wp:extent cx="2735580" cy="2735580"/>
            <wp:effectExtent l="0" t="0" r="7620" b="7620"/>
            <wp:docPr id="1591727555" name="Picture 1591727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35580" cy="2735580"/>
                    </a:xfrm>
                    <a:prstGeom prst="rect">
                      <a:avLst/>
                    </a:prstGeom>
                  </pic:spPr>
                </pic:pic>
              </a:graphicData>
            </a:graphic>
          </wp:inline>
        </w:drawing>
      </w:r>
      <w:r w:rsidR="00584A05">
        <w:rPr>
          <w:noProof/>
        </w:rPr>
        <w:drawing>
          <wp:inline distT="0" distB="0" distL="0" distR="0" wp14:anchorId="61D88C9A" wp14:editId="72E84317">
            <wp:extent cx="1562100" cy="2656265"/>
            <wp:effectExtent l="0" t="0" r="0" b="0"/>
            <wp:docPr id="1490317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4556" cy="2745464"/>
                    </a:xfrm>
                    <a:prstGeom prst="rect">
                      <a:avLst/>
                    </a:prstGeom>
                    <a:noFill/>
                    <a:ln>
                      <a:noFill/>
                    </a:ln>
                  </pic:spPr>
                </pic:pic>
              </a:graphicData>
            </a:graphic>
          </wp:inline>
        </w:drawing>
      </w:r>
    </w:p>
    <w:p w14:paraId="7EDE13BB" w14:textId="77777777" w:rsidR="006702F7" w:rsidRDefault="006702F7">
      <w:pPr>
        <w:spacing w:before="60" w:after="120" w:line="360" w:lineRule="auto"/>
        <w:jc w:val="center"/>
        <w:rPr>
          <w:rFonts w:ascii="Calibri" w:eastAsia="Calibri" w:hAnsi="Calibri" w:cs="Calibri"/>
          <w:b/>
          <w:bCs/>
          <w:color w:val="1A2A3A"/>
          <w:sz w:val="32"/>
          <w:szCs w:val="32"/>
        </w:rPr>
      </w:pPr>
    </w:p>
    <w:p w14:paraId="4A899FB0" w14:textId="77777777" w:rsidR="006702F7" w:rsidRDefault="006702F7">
      <w:pPr>
        <w:spacing w:before="60" w:after="120" w:line="360" w:lineRule="auto"/>
        <w:jc w:val="center"/>
        <w:rPr>
          <w:rFonts w:ascii="Calibri" w:eastAsia="Calibri" w:hAnsi="Calibri" w:cs="Calibri"/>
          <w:b/>
          <w:bCs/>
          <w:color w:val="1A2A3A"/>
          <w:sz w:val="32"/>
          <w:szCs w:val="32"/>
        </w:rPr>
      </w:pPr>
    </w:p>
    <w:p w14:paraId="5DA38E28" w14:textId="28A7DB02" w:rsidR="00745820" w:rsidRPr="005131D1" w:rsidRDefault="008D109D">
      <w:pPr>
        <w:spacing w:before="60" w:after="120" w:line="360" w:lineRule="auto"/>
        <w:jc w:val="center"/>
        <w:rPr>
          <w:sz w:val="32"/>
          <w:szCs w:val="32"/>
        </w:rPr>
      </w:pPr>
      <w:r w:rsidRPr="005131D1">
        <w:rPr>
          <w:rFonts w:ascii="Calibri" w:eastAsia="Calibri" w:hAnsi="Calibri" w:cs="Calibri"/>
          <w:b/>
          <w:bCs/>
          <w:color w:val="1A2A3A"/>
          <w:sz w:val="32"/>
          <w:szCs w:val="32"/>
        </w:rPr>
        <w:t>Presented by Homestead Real Estate, LLC</w:t>
      </w:r>
    </w:p>
    <w:p w14:paraId="66917290" w14:textId="77777777" w:rsidR="00745820" w:rsidRPr="005131D1" w:rsidRDefault="008D109D">
      <w:pPr>
        <w:spacing w:before="60" w:after="120" w:line="360" w:lineRule="auto"/>
        <w:jc w:val="center"/>
        <w:rPr>
          <w:sz w:val="32"/>
          <w:szCs w:val="32"/>
        </w:rPr>
      </w:pPr>
      <w:r w:rsidRPr="005131D1">
        <w:rPr>
          <w:rFonts w:ascii="Calibri" w:eastAsia="Calibri" w:hAnsi="Calibri" w:cs="Calibri"/>
          <w:color w:val="555555"/>
          <w:sz w:val="32"/>
          <w:szCs w:val="32"/>
        </w:rPr>
        <w:t>Michell Middleton  |  Realtor  |  352-267-3560  |  MichellMiddletonRealtor@gmail.com</w:t>
      </w:r>
    </w:p>
    <w:sectPr w:rsidR="00745820" w:rsidRPr="005131D1" w:rsidSect="00B35E0C">
      <w:pgSz w:w="12240" w:h="15840" w:code="1"/>
      <w:pgMar w:top="1080" w:right="1440" w:bottom="1080" w:left="144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6792C"/>
    <w:multiLevelType w:val="hybridMultilevel"/>
    <w:tmpl w:val="738AE038"/>
    <w:lvl w:ilvl="0" w:tplc="80C2F9C2">
      <w:start w:val="1"/>
      <w:numFmt w:val="bullet"/>
      <w:lvlText w:val="●"/>
      <w:lvlJc w:val="left"/>
      <w:pPr>
        <w:ind w:left="720" w:hanging="360"/>
      </w:pPr>
    </w:lvl>
    <w:lvl w:ilvl="1" w:tplc="3606CE70">
      <w:start w:val="1"/>
      <w:numFmt w:val="bullet"/>
      <w:lvlText w:val="○"/>
      <w:lvlJc w:val="left"/>
      <w:pPr>
        <w:ind w:left="1440" w:hanging="360"/>
      </w:pPr>
    </w:lvl>
    <w:lvl w:ilvl="2" w:tplc="50B22CE2">
      <w:start w:val="1"/>
      <w:numFmt w:val="bullet"/>
      <w:lvlText w:val="■"/>
      <w:lvlJc w:val="left"/>
      <w:pPr>
        <w:ind w:left="2160" w:hanging="360"/>
      </w:pPr>
    </w:lvl>
    <w:lvl w:ilvl="3" w:tplc="41AA78AA">
      <w:start w:val="1"/>
      <w:numFmt w:val="bullet"/>
      <w:lvlText w:val="●"/>
      <w:lvlJc w:val="left"/>
      <w:pPr>
        <w:ind w:left="2880" w:hanging="360"/>
      </w:pPr>
    </w:lvl>
    <w:lvl w:ilvl="4" w:tplc="7F8EFD10">
      <w:start w:val="1"/>
      <w:numFmt w:val="bullet"/>
      <w:lvlText w:val="○"/>
      <w:lvlJc w:val="left"/>
      <w:pPr>
        <w:ind w:left="3600" w:hanging="360"/>
      </w:pPr>
    </w:lvl>
    <w:lvl w:ilvl="5" w:tplc="D4A2C610">
      <w:start w:val="1"/>
      <w:numFmt w:val="bullet"/>
      <w:lvlText w:val="■"/>
      <w:lvlJc w:val="left"/>
      <w:pPr>
        <w:ind w:left="4320" w:hanging="360"/>
      </w:pPr>
    </w:lvl>
    <w:lvl w:ilvl="6" w:tplc="CD302906">
      <w:start w:val="1"/>
      <w:numFmt w:val="bullet"/>
      <w:lvlText w:val="●"/>
      <w:lvlJc w:val="left"/>
      <w:pPr>
        <w:ind w:left="5040" w:hanging="360"/>
      </w:pPr>
    </w:lvl>
    <w:lvl w:ilvl="7" w:tplc="52B8CC32">
      <w:start w:val="1"/>
      <w:numFmt w:val="bullet"/>
      <w:lvlText w:val="●"/>
      <w:lvlJc w:val="left"/>
      <w:pPr>
        <w:ind w:left="5760" w:hanging="360"/>
      </w:pPr>
    </w:lvl>
    <w:lvl w:ilvl="8" w:tplc="1736C92E">
      <w:start w:val="1"/>
      <w:numFmt w:val="bullet"/>
      <w:lvlText w:val="●"/>
      <w:lvlJc w:val="left"/>
      <w:pPr>
        <w:ind w:left="6480" w:hanging="360"/>
      </w:pPr>
    </w:lvl>
  </w:abstractNum>
  <w:abstractNum w:abstractNumId="1" w15:restartNumberingAfterBreak="0">
    <w:nsid w:val="3E160489"/>
    <w:multiLevelType w:val="hybridMultilevel"/>
    <w:tmpl w:val="3848A404"/>
    <w:lvl w:ilvl="0" w:tplc="D4EE5E36">
      <w:start w:val="1"/>
      <w:numFmt w:val="decimal"/>
      <w:lvlText w:val="%1."/>
      <w:lvlJc w:val="left"/>
      <w:pPr>
        <w:ind w:left="720" w:hanging="360"/>
      </w:pPr>
    </w:lvl>
    <w:lvl w:ilvl="1" w:tplc="DBD62736">
      <w:numFmt w:val="decimal"/>
      <w:lvlText w:val=""/>
      <w:lvlJc w:val="left"/>
    </w:lvl>
    <w:lvl w:ilvl="2" w:tplc="92D43BBC">
      <w:numFmt w:val="decimal"/>
      <w:lvlText w:val=""/>
      <w:lvlJc w:val="left"/>
    </w:lvl>
    <w:lvl w:ilvl="3" w:tplc="00087C9C">
      <w:numFmt w:val="decimal"/>
      <w:lvlText w:val=""/>
      <w:lvlJc w:val="left"/>
    </w:lvl>
    <w:lvl w:ilvl="4" w:tplc="EC18EFC8">
      <w:numFmt w:val="decimal"/>
      <w:lvlText w:val=""/>
      <w:lvlJc w:val="left"/>
    </w:lvl>
    <w:lvl w:ilvl="5" w:tplc="95CC2266">
      <w:numFmt w:val="decimal"/>
      <w:lvlText w:val=""/>
      <w:lvlJc w:val="left"/>
    </w:lvl>
    <w:lvl w:ilvl="6" w:tplc="FB04504A">
      <w:numFmt w:val="decimal"/>
      <w:lvlText w:val=""/>
      <w:lvlJc w:val="left"/>
    </w:lvl>
    <w:lvl w:ilvl="7" w:tplc="7E6431DC">
      <w:numFmt w:val="decimal"/>
      <w:lvlText w:val=""/>
      <w:lvlJc w:val="left"/>
    </w:lvl>
    <w:lvl w:ilvl="8" w:tplc="31DE9196">
      <w:numFmt w:val="decimal"/>
      <w:lvlText w:val=""/>
      <w:lvlJc w:val="left"/>
    </w:lvl>
  </w:abstractNum>
  <w:num w:numId="1" w16cid:durableId="12048270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820"/>
    <w:rsid w:val="000A4578"/>
    <w:rsid w:val="001F2FA0"/>
    <w:rsid w:val="00225524"/>
    <w:rsid w:val="00234F86"/>
    <w:rsid w:val="003225DA"/>
    <w:rsid w:val="00425434"/>
    <w:rsid w:val="004718F2"/>
    <w:rsid w:val="004C27BD"/>
    <w:rsid w:val="004E2889"/>
    <w:rsid w:val="004F63F6"/>
    <w:rsid w:val="00507C2A"/>
    <w:rsid w:val="005131D1"/>
    <w:rsid w:val="00537FF5"/>
    <w:rsid w:val="00584A05"/>
    <w:rsid w:val="005E73DC"/>
    <w:rsid w:val="0061340E"/>
    <w:rsid w:val="006344AF"/>
    <w:rsid w:val="006702F7"/>
    <w:rsid w:val="00745820"/>
    <w:rsid w:val="00762382"/>
    <w:rsid w:val="00794DB0"/>
    <w:rsid w:val="008D109D"/>
    <w:rsid w:val="00931B19"/>
    <w:rsid w:val="009A0F61"/>
    <w:rsid w:val="00AF0F52"/>
    <w:rsid w:val="00B35E0C"/>
    <w:rsid w:val="00B44F7B"/>
    <w:rsid w:val="00C428A2"/>
    <w:rsid w:val="00C565FA"/>
    <w:rsid w:val="00DF2011"/>
    <w:rsid w:val="00E8185C"/>
    <w:rsid w:val="00F86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9F0CE"/>
  <w15:docId w15:val="{1C1EA13A-C441-4F9B-A89C-DD7CE21E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48"/>
      <w:szCs w:val="48"/>
    </w:rPr>
  </w:style>
  <w:style w:type="paragraph" w:styleId="Heading2">
    <w:name w:val="heading 2"/>
    <w:uiPriority w:val="9"/>
    <w:unhideWhenUsed/>
    <w:qFormat/>
    <w:pPr>
      <w:outlineLvl w:val="1"/>
    </w:pPr>
    <w:rPr>
      <w:b/>
      <w:bCs/>
      <w:color w:val="000000"/>
      <w:sz w:val="36"/>
      <w:szCs w:val="36"/>
    </w:rPr>
  </w:style>
  <w:style w:type="paragraph" w:styleId="Heading3">
    <w:name w:val="heading 3"/>
    <w:uiPriority w:val="9"/>
    <w:semiHidden/>
    <w:unhideWhenUsed/>
    <w:qFormat/>
    <w:pPr>
      <w:outlineLvl w:val="2"/>
    </w:pPr>
    <w:rPr>
      <w:b/>
      <w:bCs/>
      <w:color w:val="000000"/>
      <w:sz w:val="30"/>
      <w:szCs w:val="30"/>
    </w:rPr>
  </w:style>
  <w:style w:type="paragraph" w:styleId="Heading4">
    <w:name w:val="heading 4"/>
    <w:uiPriority w:val="9"/>
    <w:semiHidden/>
    <w:unhideWhenUsed/>
    <w:qFormat/>
    <w:pPr>
      <w:outlineLvl w:val="3"/>
    </w:pPr>
    <w:rPr>
      <w:b/>
      <w:bCs/>
      <w:color w:val="000000"/>
      <w:sz w:val="26"/>
      <w:szCs w:val="26"/>
    </w:rPr>
  </w:style>
  <w:style w:type="paragraph" w:styleId="Heading5">
    <w:name w:val="heading 5"/>
    <w:uiPriority w:val="9"/>
    <w:semiHidden/>
    <w:unhideWhenUsed/>
    <w:qFormat/>
    <w:pPr>
      <w:outlineLvl w:val="4"/>
    </w:pPr>
    <w:rPr>
      <w:b/>
      <w:bCs/>
      <w:color w:val="000000"/>
    </w:rPr>
  </w:style>
  <w:style w:type="paragraph" w:styleId="Heading6">
    <w:name w:val="heading 6"/>
    <w:uiPriority w:val="9"/>
    <w:semiHidden/>
    <w:unhideWhenUsed/>
    <w:qFormat/>
    <w:pPr>
      <w:outlineLvl w:val="5"/>
    </w:pPr>
    <w:rPr>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TotalTime>
  <Pages>13</Pages>
  <Words>2776</Words>
  <Characters>16523</Characters>
  <Application>Microsoft Office Word</Application>
  <DocSecurity>0</DocSecurity>
  <Lines>413</Lines>
  <Paragraphs>264</Paragraphs>
  <ScaleCrop>false</ScaleCrop>
  <Company/>
  <LinksUpToDate>false</LinksUpToDate>
  <CharactersWithSpaces>19035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3T3u6CdjBgugcLzyw61zr</dc:title>
  <dc:creator>Un-named</dc:creator>
  <dc:description>Generated document</dc:description>
  <cp:lastModifiedBy>Michell Middleton</cp:lastModifiedBy>
  <cp:revision>27</cp:revision>
  <cp:lastPrinted>2026-05-08T20:32:00Z</cp:lastPrinted>
  <dcterms:created xsi:type="dcterms:W3CDTF">2026-05-04T18:21:00Z</dcterms:created>
  <dcterms:modified xsi:type="dcterms:W3CDTF">2026-06-09T18:09:00Z</dcterms:modified>
</cp:coreProperties>
</file>