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2A7" w:rsidRDefault="00444DAD">
      <w:pPr>
        <w:pStyle w:val="Section"/>
      </w:pPr>
      <w:bookmarkStart w:id="0" w:name="_GoBack"/>
      <w:bookmarkEnd w:id="0"/>
      <w:r>
        <w:t>Sec. 2.082. San Jacinto overlay district.</w:t>
      </w:r>
    </w:p>
    <w:p w:rsidR="009F42A7" w:rsidRDefault="00444DAD">
      <w:pPr>
        <w:pStyle w:val="List1"/>
      </w:pPr>
      <w:r>
        <w:t>(a)</w:t>
      </w:r>
      <w:r>
        <w:tab/>
      </w:r>
      <w:r>
        <w:rPr>
          <w:i/>
        </w:rPr>
        <w:t>Purpose.</w:t>
      </w:r>
      <w:r>
        <w:t xml:space="preserve"> The San Jacinto overlay district is designed to: </w:t>
      </w:r>
    </w:p>
    <w:p w:rsidR="009F42A7" w:rsidRDefault="00444DAD">
      <w:pPr>
        <w:pStyle w:val="List2"/>
      </w:pPr>
      <w:r>
        <w:t>(1)</w:t>
      </w:r>
      <w:r>
        <w:tab/>
        <w:t xml:space="preserve">Promote the health and well-being of residents by encouraging pedestrian modes and greater social interaction; </w:t>
      </w:r>
    </w:p>
    <w:p w:rsidR="009F42A7" w:rsidRDefault="00444DAD">
      <w:pPr>
        <w:pStyle w:val="List2"/>
      </w:pPr>
      <w:r>
        <w:t>(2)</w:t>
      </w:r>
      <w:r>
        <w:tab/>
      </w:r>
      <w:r>
        <w:t xml:space="preserve">Promote an aesthetically significant, high density, mixed-use area, which encourages pedestrian activity, promotes services, and enhances the aesthetic value of an area; </w:t>
      </w:r>
    </w:p>
    <w:p w:rsidR="009F42A7" w:rsidRDefault="00444DAD">
      <w:pPr>
        <w:pStyle w:val="List2"/>
      </w:pPr>
      <w:r>
        <w:t>(3)</w:t>
      </w:r>
      <w:r>
        <w:tab/>
        <w:t>Permit a combination of office, retail, commercial, and residential uses within a</w:t>
      </w:r>
      <w:r>
        <w:t xml:space="preserve"> single development, with the non-residential uses on the ground floor and residential units on the upper floors; and </w:t>
      </w:r>
    </w:p>
    <w:p w:rsidR="009F42A7" w:rsidRDefault="00444DAD">
      <w:pPr>
        <w:pStyle w:val="List2"/>
      </w:pPr>
      <w:r>
        <w:t>(4)</w:t>
      </w:r>
      <w:r>
        <w:tab/>
        <w:t xml:space="preserve">Minimize the impact of uses that have a higher intensity. </w:t>
      </w:r>
    </w:p>
    <w:p w:rsidR="009F42A7" w:rsidRDefault="00444DAD">
      <w:pPr>
        <w:pStyle w:val="List1"/>
      </w:pPr>
      <w:r>
        <w:t>(b)</w:t>
      </w:r>
      <w:r>
        <w:tab/>
      </w:r>
      <w:r>
        <w:rPr>
          <w:i/>
        </w:rPr>
        <w:t>Applicability.</w:t>
      </w:r>
      <w:r>
        <w:t xml:space="preserve"> This section applies to all non-residentially zoned pro</w:t>
      </w:r>
      <w:r>
        <w:t xml:space="preserve">perty. The San Jacinto overlay district is to be combined with only non-residential base zoning districts. The adoption of this overlay district should not be construed as a change in zoning. </w:t>
      </w:r>
    </w:p>
    <w:p w:rsidR="009F42A7" w:rsidRDefault="00444DAD">
      <w:pPr>
        <w:pStyle w:val="Paragraph1"/>
      </w:pPr>
      <w:r>
        <w:t>The overlay district is divided into three tiers. Each tier may</w:t>
      </w:r>
      <w:r>
        <w:t xml:space="preserve"> have different zoning regulations. Each tier is designated in Figure SJ0-1 and shall govern the property in the tier. If any portion of a lot or tract falls within more than one tier, the entire property must be developed using the standards that apply to</w:t>
      </w:r>
      <w:r>
        <w:t xml:space="preserve"> the lowest numbered tier. </w:t>
      </w:r>
    </w:p>
    <w:p w:rsidR="009F42A7" w:rsidRDefault="00444DAD">
      <w:pPr>
        <w:pStyle w:val="Hang2"/>
      </w:pPr>
      <w:r>
        <w:t>• Tier 1 (T1) includes any lot that is within a 700-foot radius from the centerline of the right-of-way at the intersection of (</w:t>
      </w:r>
      <w:proofErr w:type="spellStart"/>
      <w:r>
        <w:t>i</w:t>
      </w:r>
      <w:proofErr w:type="spellEnd"/>
      <w:r>
        <w:t>) San Jacinto Boulevard and Hunt Road, as well as, (ii) San Jacinto Boulevard and Lone Star Street;</w:t>
      </w:r>
      <w:r>
        <w:t xml:space="preserve"> and any lot that is within a 500-foot radius from the centerline of the right-of-way at the intersection of San Jacinto Boulevard and </w:t>
      </w:r>
      <w:proofErr w:type="spellStart"/>
      <w:r>
        <w:t>Santavy</w:t>
      </w:r>
      <w:proofErr w:type="spellEnd"/>
      <w:r>
        <w:t xml:space="preserve"> Street. Tier 1 is intended to govern the key intersections throughout this overlay district. Tier 1 is intended t</w:t>
      </w:r>
      <w:r>
        <w:t xml:space="preserve">o produce an urban aesthetic with closely developed buildings, taller buildings, and hidden parking. </w:t>
      </w:r>
    </w:p>
    <w:p w:rsidR="009F42A7" w:rsidRDefault="00444DAD">
      <w:pPr>
        <w:pStyle w:val="Hang2"/>
      </w:pPr>
      <w:r>
        <w:t>• Tier 2 (T2) includes parcels outside of the Tier 1 boundary that are 700 feet from the centerline of the San Jacinto Boulevard and Hunt Road rights-of-w</w:t>
      </w:r>
      <w:r>
        <w:t xml:space="preserve">ay. Tier 2 is intended to incentivize the aforementioned corridors to achieve a compatible development with T1, however, it doesn't emphasize the urban density as much. </w:t>
      </w:r>
    </w:p>
    <w:p w:rsidR="009F42A7" w:rsidRDefault="00444DAD">
      <w:pPr>
        <w:pStyle w:val="Hang2"/>
      </w:pPr>
      <w:r>
        <w:t xml:space="preserve">• Tier 3 (T3) would include all other properties within the overlay district that are </w:t>
      </w:r>
      <w:r>
        <w:t xml:space="preserve">not determined to be within Tier 1 or Tier 2. Tier 3 is intended to permit a less dense and less urban profile, while maintaining compatibility with the other tiers. </w:t>
      </w:r>
    </w:p>
    <w:p w:rsidR="009F42A7" w:rsidRDefault="009F42A7"/>
    <w:p w:rsidR="009F42A7" w:rsidRDefault="00444DAD">
      <w:pPr>
        <w:pStyle w:val="ImageCaptionAboveLeft"/>
      </w:pPr>
      <w:r>
        <w:rPr>
          <w:b w:val="0"/>
          <w:i/>
        </w:rPr>
        <w:lastRenderedPageBreak/>
        <w:t>Figure SJO-1. Boundary and Tiers</w:t>
      </w:r>
      <w:r>
        <w:br/>
      </w:r>
    </w:p>
    <w:p w:rsidR="009F42A7" w:rsidRDefault="00444DAD">
      <w:pPr>
        <w:pStyle w:val="ImageLeft"/>
      </w:pPr>
      <w:r>
        <w:rPr>
          <w:noProof/>
        </w:rPr>
        <w:drawing>
          <wp:inline distT="0" distB="0" distL="0" distR="0">
            <wp:extent cx="2895600" cy="4051300"/>
            <wp:effectExtent l="0" t="0" r="0" b="0"/>
            <wp:docPr id="1" name="Drawing 0" descr="2-082A.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895600" cy="4051300"/>
                    </a:xfrm>
                    <a:prstGeom prst="rect">
                      <a:avLst/>
                    </a:prstGeom>
                  </pic:spPr>
                </pic:pic>
              </a:graphicData>
            </a:graphic>
          </wp:inline>
        </w:drawing>
      </w:r>
    </w:p>
    <w:p w:rsidR="009F42A7" w:rsidRDefault="00444DAD">
      <w:pPr>
        <w:pStyle w:val="List1"/>
      </w:pPr>
      <w:r>
        <w:t>(c)</w:t>
      </w:r>
      <w:r>
        <w:tab/>
      </w:r>
      <w:r>
        <w:rPr>
          <w:i/>
        </w:rPr>
        <w:t>Procedures for appeals and interpretation.</w:t>
      </w:r>
      <w:r>
        <w:t xml:space="preserve"> Proce</w:t>
      </w:r>
      <w:r>
        <w:t xml:space="preserve">dures for appeal and interpretation shall be governed by the processes within sections 1.28, 1.29, and 1.30 of the ULDC. </w:t>
      </w:r>
    </w:p>
    <w:p w:rsidR="009F42A7" w:rsidRDefault="00444DAD">
      <w:pPr>
        <w:pStyle w:val="List1"/>
      </w:pPr>
      <w:r>
        <w:t>(d)</w:t>
      </w:r>
      <w:r>
        <w:tab/>
      </w:r>
      <w:r>
        <w:rPr>
          <w:i/>
        </w:rPr>
        <w:t>Utilities.</w:t>
      </w:r>
    </w:p>
    <w:p w:rsidR="009F42A7" w:rsidRDefault="00444DAD">
      <w:pPr>
        <w:pStyle w:val="List2"/>
      </w:pPr>
      <w:r>
        <w:t>(1)</w:t>
      </w:r>
      <w:r>
        <w:tab/>
        <w:t xml:space="preserve">Underground utilities are required. Poles and overhead wires and associated overhead structures are prohibited. </w:t>
      </w:r>
    </w:p>
    <w:p w:rsidR="009F42A7" w:rsidRDefault="00444DAD">
      <w:pPr>
        <w:pStyle w:val="List2"/>
      </w:pPr>
      <w:r>
        <w:t>(2</w:t>
      </w:r>
      <w:r>
        <w:t>)</w:t>
      </w:r>
      <w:r>
        <w:tab/>
        <w:t>Exterior onsite facilities and mechanical equipment, including sewer, gas, water, electric, telephone, and communications equipment, shall be installed underground. Transformers and other mechanical equipment that must be aboveground shall be screened wi</w:t>
      </w:r>
      <w:r>
        <w:t xml:space="preserve">th solid material that is architecturally compatible with the primary building and incorporated into the landscape. </w:t>
      </w:r>
    </w:p>
    <w:p w:rsidR="009F42A7" w:rsidRDefault="00444DAD">
      <w:pPr>
        <w:pStyle w:val="List2"/>
      </w:pPr>
      <w:r>
        <w:t>(3)</w:t>
      </w:r>
      <w:r>
        <w:tab/>
        <w:t xml:space="preserve">The use of regional or </w:t>
      </w:r>
      <w:proofErr w:type="spellStart"/>
      <w:r>
        <w:t>subregional</w:t>
      </w:r>
      <w:proofErr w:type="spellEnd"/>
      <w:r>
        <w:t xml:space="preserve"> stormwater detention is required as capacity permits. Thereafter, underground stormwater detention f</w:t>
      </w:r>
      <w:r>
        <w:t xml:space="preserve">acilities are permitted. </w:t>
      </w:r>
    </w:p>
    <w:p w:rsidR="009F42A7" w:rsidRDefault="00444DAD">
      <w:pPr>
        <w:pStyle w:val="List1"/>
      </w:pPr>
      <w:r>
        <w:t>(e)</w:t>
      </w:r>
      <w:r>
        <w:tab/>
      </w:r>
      <w:r>
        <w:rPr>
          <w:i/>
        </w:rPr>
        <w:t>Definitions.</w:t>
      </w:r>
      <w:r>
        <w:t xml:space="preserve"> The following words, terms and phrases, when used in this section, shall have the meanings ascribed to them in this section, except where the context clearly indicates a different meaning: </w:t>
      </w:r>
    </w:p>
    <w:p w:rsidR="009F42A7" w:rsidRDefault="00444DAD">
      <w:pPr>
        <w:pStyle w:val="List2"/>
      </w:pPr>
      <w:r>
        <w:t>(1)</w:t>
      </w:r>
      <w:r>
        <w:tab/>
      </w:r>
      <w:r>
        <w:rPr>
          <w:i/>
        </w:rPr>
        <w:t>Mixed-use building</w:t>
      </w:r>
      <w:r>
        <w:t xml:space="preserve"> </w:t>
      </w:r>
      <w:r>
        <w:t xml:space="preserve">means a building that contains at least one floor, or a portion thereof, devoted to permitted nonresidential uses, and at least one floor devoted to permitted residential uses. </w:t>
      </w:r>
    </w:p>
    <w:p w:rsidR="009F42A7" w:rsidRDefault="00444DAD">
      <w:pPr>
        <w:pStyle w:val="List2"/>
      </w:pPr>
      <w:r>
        <w:t>(2)</w:t>
      </w:r>
      <w:r>
        <w:tab/>
      </w:r>
      <w:r>
        <w:rPr>
          <w:i/>
        </w:rPr>
        <w:t>Multi-family</w:t>
      </w:r>
      <w:r>
        <w:t xml:space="preserve"> means any residential dwelling complex consisting of five or </w:t>
      </w:r>
      <w:r>
        <w:t xml:space="preserve">more units to include, but not be limited to, common accessory structures such as garages, laundry buildings, and guest parking. </w:t>
      </w:r>
    </w:p>
    <w:p w:rsidR="009F42A7" w:rsidRDefault="00444DAD">
      <w:pPr>
        <w:pStyle w:val="List2"/>
      </w:pPr>
      <w:r>
        <w:lastRenderedPageBreak/>
        <w:t>(3)</w:t>
      </w:r>
      <w:r>
        <w:tab/>
      </w:r>
      <w:r>
        <w:rPr>
          <w:i/>
        </w:rPr>
        <w:t>Horizontal mixed-use development</w:t>
      </w:r>
      <w:r>
        <w:t xml:space="preserve"> means a development consisting of two or more attached or detached buildings of differing</w:t>
      </w:r>
      <w:r>
        <w:t xml:space="preserve"> use categories (e.g., residential and nonresidential) within the same project area. </w:t>
      </w:r>
    </w:p>
    <w:p w:rsidR="009F42A7" w:rsidRDefault="00444DAD">
      <w:pPr>
        <w:pStyle w:val="List2"/>
      </w:pPr>
      <w:r>
        <w:t>(4)</w:t>
      </w:r>
      <w:r>
        <w:tab/>
      </w:r>
      <w:r>
        <w:rPr>
          <w:i/>
        </w:rPr>
        <w:t>Project area</w:t>
      </w:r>
      <w:r>
        <w:t xml:space="preserve"> means a single parcel or multiple parcels, planned and constructed as one, coordinated and unified project. </w:t>
      </w:r>
    </w:p>
    <w:p w:rsidR="009F42A7" w:rsidRDefault="00444DAD">
      <w:pPr>
        <w:pStyle w:val="List2"/>
      </w:pPr>
      <w:r>
        <w:t>(5)</w:t>
      </w:r>
      <w:r>
        <w:tab/>
      </w:r>
      <w:r>
        <w:rPr>
          <w:i/>
        </w:rPr>
        <w:t>Plot plan</w:t>
      </w:r>
      <w:r>
        <w:t xml:space="preserve"> means a site plan of the proje</w:t>
      </w:r>
      <w:r>
        <w:t xml:space="preserve">ct area, which identifies residential boundaries where residential uses are proposed in this overlay district. </w:t>
      </w:r>
    </w:p>
    <w:p w:rsidR="009F42A7" w:rsidRDefault="00444DAD">
      <w:pPr>
        <w:pStyle w:val="List2"/>
      </w:pPr>
      <w:r>
        <w:t>(6)</w:t>
      </w:r>
      <w:r>
        <w:tab/>
      </w:r>
      <w:r>
        <w:rPr>
          <w:i/>
        </w:rPr>
        <w:t>Usable open space</w:t>
      </w:r>
      <w:r>
        <w:t xml:space="preserve"> means accessible hardscape or landscape areas, including, but not limited to, plazas, courtyards, pocket parks, and other </w:t>
      </w:r>
      <w:r>
        <w:t xml:space="preserve">publicly accessible amenities. </w:t>
      </w:r>
    </w:p>
    <w:p w:rsidR="009F42A7" w:rsidRDefault="00444DAD">
      <w:pPr>
        <w:pStyle w:val="List2"/>
      </w:pPr>
      <w:r>
        <w:t>(7)</w:t>
      </w:r>
      <w:r>
        <w:tab/>
      </w:r>
      <w:r>
        <w:rPr>
          <w:i/>
        </w:rPr>
        <w:t>Monument sign</w:t>
      </w:r>
      <w:r>
        <w:t xml:space="preserve"> means any permanent low-profile sign built on a monument base as opposed to a pole base, solid from the ground up, and which has no clear space for the full width of the sign between the bottom of the sign </w:t>
      </w:r>
      <w:r>
        <w:t xml:space="preserve">and the ground. Poles or supports must be concealed. </w:t>
      </w:r>
    </w:p>
    <w:p w:rsidR="009F42A7" w:rsidRDefault="00444DAD">
      <w:pPr>
        <w:pStyle w:val="List2"/>
      </w:pPr>
      <w:r>
        <w:t>(8)</w:t>
      </w:r>
      <w:r>
        <w:tab/>
      </w:r>
      <w:r>
        <w:rPr>
          <w:i/>
        </w:rPr>
        <w:t>Window sign</w:t>
      </w:r>
      <w:r>
        <w:t xml:space="preserve"> means a sign affixed to the surface of a window with its message intended to be visible to and readable from the public way or from adjacent property. </w:t>
      </w:r>
    </w:p>
    <w:p w:rsidR="009F42A7" w:rsidRDefault="00444DAD">
      <w:pPr>
        <w:pStyle w:val="List2"/>
      </w:pPr>
      <w:r>
        <w:t>(9)</w:t>
      </w:r>
      <w:r>
        <w:tab/>
      </w:r>
      <w:r>
        <w:rPr>
          <w:i/>
        </w:rPr>
        <w:t>Primary building(s)</w:t>
      </w:r>
      <w:r>
        <w:t xml:space="preserve"> means a structure that is developed along the street frontage that is subject to the front yard setback standards. </w:t>
      </w:r>
    </w:p>
    <w:p w:rsidR="009F42A7" w:rsidRDefault="00444DAD">
      <w:pPr>
        <w:pStyle w:val="List2"/>
      </w:pPr>
      <w:r>
        <w:t>(10)</w:t>
      </w:r>
      <w:r>
        <w:tab/>
      </w:r>
      <w:r>
        <w:rPr>
          <w:i/>
        </w:rPr>
        <w:t>Secondary building(s)</w:t>
      </w:r>
      <w:r>
        <w:t xml:space="preserve"> means a structure that is developed in the project area but does not have direct street frontage to the adjacent</w:t>
      </w:r>
      <w:r>
        <w:t xml:space="preserve"> street due to a primary building that has been constructed along the street frontage. </w:t>
      </w:r>
    </w:p>
    <w:p w:rsidR="009F42A7" w:rsidRDefault="00444DAD">
      <w:pPr>
        <w:pStyle w:val="List2"/>
      </w:pPr>
      <w:r>
        <w:t>(11)</w:t>
      </w:r>
      <w:r>
        <w:tab/>
      </w:r>
      <w:r>
        <w:rPr>
          <w:i/>
        </w:rPr>
        <w:t>Drive-through restaurant</w:t>
      </w:r>
      <w:r>
        <w:t xml:space="preserve"> means an establishment in which food or drink is served to customers within automobiles outside of the confines of the building and/or whe</w:t>
      </w:r>
      <w:r>
        <w:t xml:space="preserve">re the consumption of such food or drink is intended to occur off the premises. </w:t>
      </w:r>
    </w:p>
    <w:p w:rsidR="009F42A7" w:rsidRDefault="00444DAD">
      <w:pPr>
        <w:pStyle w:val="List2"/>
      </w:pPr>
      <w:r>
        <w:t>(12)</w:t>
      </w:r>
      <w:r>
        <w:tab/>
      </w:r>
      <w:r>
        <w:rPr>
          <w:i/>
        </w:rPr>
        <w:t>Primary entrance(s)</w:t>
      </w:r>
      <w:r>
        <w:t xml:space="preserve"> means an ingress and egress point of a building or suite, which is designed for pedestrians, that is oriented towards the street frontage and usable open space. </w:t>
      </w:r>
    </w:p>
    <w:p w:rsidR="009F42A7" w:rsidRDefault="00444DAD">
      <w:pPr>
        <w:pStyle w:val="List2"/>
      </w:pPr>
      <w:r>
        <w:t>(13)</w:t>
      </w:r>
      <w:r>
        <w:tab/>
      </w:r>
      <w:r>
        <w:rPr>
          <w:i/>
        </w:rPr>
        <w:t>Secondary entrance(s)</w:t>
      </w:r>
      <w:r>
        <w:t xml:space="preserve"> means ingress and egress point(s) of a building or suite, which is</w:t>
      </w:r>
      <w:r>
        <w:t xml:space="preserve"> designed for pedestrians, that is not the primary entrance(s). </w:t>
      </w:r>
    </w:p>
    <w:p w:rsidR="009F42A7" w:rsidRDefault="00444DAD">
      <w:pPr>
        <w:pStyle w:val="List2"/>
      </w:pPr>
      <w:r>
        <w:t>(14)</w:t>
      </w:r>
      <w:r>
        <w:tab/>
      </w:r>
      <w:r>
        <w:rPr>
          <w:i/>
        </w:rPr>
        <w:t>Small box discount retail</w:t>
      </w:r>
      <w:r>
        <w:t xml:space="preserve"> means a single retail establishment consisting of 12,000 square feet or less of gross floor area, offering for sale an assortment of discounted general merchand</w:t>
      </w:r>
      <w:r>
        <w:t>ise directly to the consumer. Such merchandise may include, but not be limited to, food and beverage for off-premises consumption, processed foods, household products, personal grooming and health products, clothing, and other consumer goods. This term doe</w:t>
      </w:r>
      <w:r>
        <w:t xml:space="preserve">s not include a retail establishment providing a prescription pharmacy, gasoline or diesel fuel, specialty gifts or food and beverage items intended for on-premises consumption. </w:t>
      </w:r>
    </w:p>
    <w:p w:rsidR="009F42A7" w:rsidRDefault="00444DAD">
      <w:pPr>
        <w:pStyle w:val="List1"/>
      </w:pPr>
      <w:r>
        <w:t>(f)</w:t>
      </w:r>
      <w:r>
        <w:tab/>
      </w:r>
      <w:r>
        <w:rPr>
          <w:i/>
        </w:rPr>
        <w:t>Non-residential uses.</w:t>
      </w:r>
      <w:r>
        <w:t xml:space="preserve"> Unless otherwise stated, this section only applies </w:t>
      </w:r>
      <w:r>
        <w:t>to the uses that are permitted (P) and/or permitted with conditions (PC) within the land use table for ACE, NSC, GC, and LC zoning districts. Such uses shall be subject to section 2.10 "land use conditions" and the additional regulations within the overlay</w:t>
      </w:r>
      <w:r>
        <w:t xml:space="preserve"> table. Where there are conflicts, the requirements of this section shall prevail. </w:t>
      </w:r>
    </w:p>
    <w:p w:rsidR="009F42A7" w:rsidRDefault="00444DAD">
      <w:pPr>
        <w:pStyle w:val="List2"/>
      </w:pPr>
      <w:r>
        <w:t>(1)</w:t>
      </w:r>
      <w:r>
        <w:tab/>
      </w:r>
      <w:r>
        <w:rPr>
          <w:i/>
        </w:rPr>
        <w:t>Prohibited uses.</w:t>
      </w:r>
      <w:r>
        <w:t xml:space="preserve"> Prohibited uses pertain to both primary and accessory uses. Any of the following land uses shall not occur unless it is approved by city council as par</w:t>
      </w:r>
      <w:r>
        <w:t xml:space="preserve">t of a planned unit development (PUD): </w:t>
      </w:r>
    </w:p>
    <w:p w:rsidR="009F42A7" w:rsidRDefault="00444DAD">
      <w:pPr>
        <w:pStyle w:val="List3"/>
      </w:pPr>
      <w:r>
        <w:t>a.</w:t>
      </w:r>
      <w:r>
        <w:tab/>
        <w:t xml:space="preserve">Auto body; </w:t>
      </w:r>
    </w:p>
    <w:p w:rsidR="009F42A7" w:rsidRDefault="00444DAD">
      <w:pPr>
        <w:pStyle w:val="List3"/>
      </w:pPr>
      <w:r>
        <w:t>b.</w:t>
      </w:r>
      <w:r>
        <w:tab/>
        <w:t xml:space="preserve">Vehicle repair; </w:t>
      </w:r>
    </w:p>
    <w:p w:rsidR="009F42A7" w:rsidRDefault="00444DAD">
      <w:pPr>
        <w:pStyle w:val="List3"/>
      </w:pPr>
      <w:r>
        <w:t>c.</w:t>
      </w:r>
      <w:r>
        <w:tab/>
        <w:t xml:space="preserve">Boat and R-V storage; </w:t>
      </w:r>
    </w:p>
    <w:p w:rsidR="009F42A7" w:rsidRDefault="00444DAD">
      <w:pPr>
        <w:pStyle w:val="List3"/>
      </w:pPr>
      <w:r>
        <w:lastRenderedPageBreak/>
        <w:t>d.</w:t>
      </w:r>
      <w:r>
        <w:tab/>
        <w:t xml:space="preserve">Carwash; </w:t>
      </w:r>
    </w:p>
    <w:p w:rsidR="009F42A7" w:rsidRDefault="00444DAD">
      <w:pPr>
        <w:pStyle w:val="List3"/>
      </w:pPr>
      <w:r>
        <w:t>e.</w:t>
      </w:r>
      <w:r>
        <w:tab/>
        <w:t xml:space="preserve">Drive-through restaurant; </w:t>
      </w:r>
    </w:p>
    <w:p w:rsidR="009F42A7" w:rsidRDefault="00444DAD">
      <w:pPr>
        <w:pStyle w:val="List3"/>
      </w:pPr>
      <w:r>
        <w:t>f.</w:t>
      </w:r>
      <w:r>
        <w:tab/>
        <w:t xml:space="preserve">Gas station; </w:t>
      </w:r>
    </w:p>
    <w:p w:rsidR="009F42A7" w:rsidRDefault="00444DAD">
      <w:pPr>
        <w:pStyle w:val="List3"/>
      </w:pPr>
      <w:r>
        <w:t>g.</w:t>
      </w:r>
      <w:r>
        <w:tab/>
        <w:t xml:space="preserve">Kennel; </w:t>
      </w:r>
    </w:p>
    <w:p w:rsidR="009F42A7" w:rsidRDefault="00444DAD">
      <w:pPr>
        <w:pStyle w:val="List3"/>
      </w:pPr>
      <w:r>
        <w:t>h.</w:t>
      </w:r>
      <w:r>
        <w:tab/>
        <w:t xml:space="preserve">Outdoor sale and display; </w:t>
      </w:r>
    </w:p>
    <w:p w:rsidR="009F42A7" w:rsidRDefault="00444DAD">
      <w:pPr>
        <w:pStyle w:val="List3"/>
      </w:pPr>
      <w:proofErr w:type="spellStart"/>
      <w:r>
        <w:t>i</w:t>
      </w:r>
      <w:proofErr w:type="spellEnd"/>
      <w:r>
        <w:t>.</w:t>
      </w:r>
      <w:r>
        <w:tab/>
        <w:t xml:space="preserve">Outdoor storage; </w:t>
      </w:r>
    </w:p>
    <w:p w:rsidR="009F42A7" w:rsidRDefault="00444DAD">
      <w:pPr>
        <w:pStyle w:val="List3"/>
      </w:pPr>
      <w:r>
        <w:t>j.</w:t>
      </w:r>
      <w:r>
        <w:tab/>
        <w:t xml:space="preserve">R-V park; </w:t>
      </w:r>
    </w:p>
    <w:p w:rsidR="009F42A7" w:rsidRDefault="00444DAD">
      <w:pPr>
        <w:pStyle w:val="List3"/>
      </w:pPr>
      <w:r>
        <w:t>k.</w:t>
      </w:r>
      <w:r>
        <w:tab/>
        <w:t xml:space="preserve">Self-storage; </w:t>
      </w:r>
    </w:p>
    <w:p w:rsidR="009F42A7" w:rsidRDefault="00444DAD">
      <w:pPr>
        <w:pStyle w:val="List3"/>
      </w:pPr>
      <w:r>
        <w:t>l.</w:t>
      </w:r>
      <w:r>
        <w:tab/>
        <w:t xml:space="preserve">Supply house; </w:t>
      </w:r>
    </w:p>
    <w:p w:rsidR="009F42A7" w:rsidRDefault="00444DAD">
      <w:pPr>
        <w:pStyle w:val="List3"/>
      </w:pPr>
      <w:r>
        <w:t>m.</w:t>
      </w:r>
      <w:r>
        <w:tab/>
        <w:t xml:space="preserve">Truck stop; </w:t>
      </w:r>
    </w:p>
    <w:p w:rsidR="009F42A7" w:rsidRDefault="00444DAD">
      <w:pPr>
        <w:pStyle w:val="List3"/>
      </w:pPr>
      <w:r>
        <w:t>n.</w:t>
      </w:r>
      <w:r>
        <w:tab/>
        <w:t xml:space="preserve">Manufacturing light; </w:t>
      </w:r>
    </w:p>
    <w:p w:rsidR="009F42A7" w:rsidRDefault="00444DAD">
      <w:pPr>
        <w:pStyle w:val="List3"/>
      </w:pPr>
      <w:r>
        <w:t>o.</w:t>
      </w:r>
      <w:r>
        <w:tab/>
        <w:t xml:space="preserve">Sandblasting; </w:t>
      </w:r>
    </w:p>
    <w:p w:rsidR="009F42A7" w:rsidRDefault="00444DAD">
      <w:pPr>
        <w:pStyle w:val="List3"/>
      </w:pPr>
      <w:r>
        <w:t>p.</w:t>
      </w:r>
      <w:r>
        <w:tab/>
        <w:t xml:space="preserve">Warehouse; </w:t>
      </w:r>
    </w:p>
    <w:p w:rsidR="009F42A7" w:rsidRDefault="00444DAD">
      <w:pPr>
        <w:pStyle w:val="List3"/>
      </w:pPr>
      <w:r>
        <w:t>q.</w:t>
      </w:r>
      <w:r>
        <w:tab/>
        <w:t xml:space="preserve">Small box discount retail. </w:t>
      </w:r>
    </w:p>
    <w:p w:rsidR="009F42A7" w:rsidRDefault="00444DAD">
      <w:pPr>
        <w:pStyle w:val="List2"/>
      </w:pPr>
      <w:r>
        <w:t>(2)</w:t>
      </w:r>
      <w:r>
        <w:tab/>
      </w:r>
      <w:r>
        <w:rPr>
          <w:i/>
        </w:rPr>
        <w:t>Tier 1.</w:t>
      </w:r>
      <w:r>
        <w:t xml:space="preserve"> Within Tier 1, single-tenant buildings and/or suites shall not exceed 15,000 square feet on the ground floor. Each floor </w:t>
      </w:r>
      <w:r>
        <w:t xml:space="preserve">of a multi-story building within Tier 1 may not exceed the square footage of the ground floor. </w:t>
      </w:r>
    </w:p>
    <w:p w:rsidR="009F42A7" w:rsidRDefault="00444DAD">
      <w:pPr>
        <w:pStyle w:val="List2"/>
      </w:pPr>
      <w:r>
        <w:t>(3)</w:t>
      </w:r>
      <w:r>
        <w:tab/>
      </w:r>
      <w:r>
        <w:rPr>
          <w:i/>
        </w:rPr>
        <w:t>Tier 1 and Tier 2.</w:t>
      </w:r>
      <w:r>
        <w:t xml:space="preserve"> In addition to other uses allowed within the underlying zoning district, hospitals shall be allowed within Tier 1 and Tier 2. </w:t>
      </w:r>
    </w:p>
    <w:p w:rsidR="009F42A7" w:rsidRDefault="00444DAD">
      <w:pPr>
        <w:pStyle w:val="List2"/>
      </w:pPr>
      <w:r>
        <w:t>(4)</w:t>
      </w:r>
      <w:r>
        <w:tab/>
      </w:r>
      <w:r>
        <w:rPr>
          <w:i/>
        </w:rPr>
        <w:t>Uses p</w:t>
      </w:r>
      <w:r>
        <w:rPr>
          <w:i/>
        </w:rPr>
        <w:t>ermitted with conditions.</w:t>
      </w:r>
      <w:r>
        <w:t xml:space="preserve"> In addition to other uses allowed within the underlying zoning district, the following uses shall be permitted with conditions within the tier indicated: </w:t>
      </w:r>
    </w:p>
    <w:tbl>
      <w:tblPr>
        <w:tblStyle w:val="Table1"/>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56"/>
        <w:gridCol w:w="1556"/>
        <w:gridCol w:w="3114"/>
        <w:gridCol w:w="3114"/>
      </w:tblGrid>
      <w:tr w:rsidR="009F42A7">
        <w:tc>
          <w:tcPr>
            <w:tcW w:w="5000" w:type="pct"/>
            <w:gridSpan w:val="4"/>
            <w:shd w:val="clear" w:color="auto" w:fill="696969"/>
          </w:tcPr>
          <w:p w:rsidR="009F42A7" w:rsidRDefault="00444DAD">
            <w:r>
              <w:rPr>
                <w:b/>
                <w:color w:val="FFFFFF"/>
              </w:rPr>
              <w:t>Non-residential Uses Permitted with Conditions</w:t>
            </w:r>
            <w:r>
              <w:t xml:space="preserve"> </w:t>
            </w:r>
          </w:p>
        </w:tc>
      </w:tr>
      <w:tr w:rsidR="009F42A7">
        <w:tc>
          <w:tcPr>
            <w:tcW w:w="833" w:type="pct"/>
            <w:shd w:val="clear" w:color="auto" w:fill="D3D3D3"/>
          </w:tcPr>
          <w:p w:rsidR="009F42A7" w:rsidRDefault="00444DAD">
            <w:r>
              <w:rPr>
                <w:b/>
              </w:rPr>
              <w:t>Land Use</w:t>
            </w:r>
          </w:p>
        </w:tc>
        <w:tc>
          <w:tcPr>
            <w:tcW w:w="833" w:type="pct"/>
            <w:shd w:val="clear" w:color="auto" w:fill="D3D3D3"/>
          </w:tcPr>
          <w:p w:rsidR="009F42A7" w:rsidRDefault="00444DAD">
            <w:r>
              <w:rPr>
                <w:b/>
              </w:rPr>
              <w:t>Tier</w:t>
            </w:r>
          </w:p>
        </w:tc>
        <w:tc>
          <w:tcPr>
            <w:tcW w:w="1667" w:type="pct"/>
            <w:shd w:val="clear" w:color="auto" w:fill="D3D3D3"/>
          </w:tcPr>
          <w:p w:rsidR="009F42A7" w:rsidRDefault="00444DAD">
            <w:r>
              <w:rPr>
                <w:b/>
              </w:rPr>
              <w:t>Cond Ref</w:t>
            </w:r>
          </w:p>
        </w:tc>
        <w:tc>
          <w:tcPr>
            <w:tcW w:w="1667" w:type="pct"/>
            <w:shd w:val="clear" w:color="auto" w:fill="D3D3D3"/>
          </w:tcPr>
          <w:p w:rsidR="009F42A7" w:rsidRDefault="00444DAD">
            <w:r>
              <w:rPr>
                <w:b/>
              </w:rPr>
              <w:t>Additional</w:t>
            </w:r>
            <w:r>
              <w:br/>
            </w:r>
            <w:r>
              <w:rPr>
                <w:b/>
              </w:rPr>
              <w:t>Regulations</w:t>
            </w:r>
            <w:r>
              <w:br/>
            </w:r>
          </w:p>
        </w:tc>
      </w:tr>
      <w:tr w:rsidR="009F42A7">
        <w:tc>
          <w:tcPr>
            <w:tcW w:w="833" w:type="pct"/>
          </w:tcPr>
          <w:p w:rsidR="009F42A7" w:rsidRDefault="00444DAD">
            <w:r>
              <w:t xml:space="preserve">Equipment sales and rental </w:t>
            </w:r>
          </w:p>
        </w:tc>
        <w:tc>
          <w:tcPr>
            <w:tcW w:w="833" w:type="pct"/>
          </w:tcPr>
          <w:p w:rsidR="009F42A7" w:rsidRDefault="00444DAD">
            <w:r>
              <w:t xml:space="preserve">2 </w:t>
            </w:r>
          </w:p>
        </w:tc>
        <w:tc>
          <w:tcPr>
            <w:tcW w:w="1667" w:type="pct"/>
          </w:tcPr>
          <w:p w:rsidR="009F42A7" w:rsidRDefault="00444DAD">
            <w:r>
              <w:t xml:space="preserve">A53 </w:t>
            </w:r>
          </w:p>
        </w:tc>
        <w:tc>
          <w:tcPr>
            <w:tcW w:w="1667" w:type="pct"/>
          </w:tcPr>
          <w:p w:rsidR="009F42A7" w:rsidRDefault="00444DAD">
            <w:r>
              <w:t xml:space="preserve">1. All equipment shall be displayed or stored interior to a building. </w:t>
            </w:r>
            <w:r>
              <w:br/>
            </w:r>
            <w:r>
              <w:t xml:space="preserve">2. No facility shall be permitted to have bay doors facing a residential use or a street identified on the major thoroughfare plan. </w:t>
            </w:r>
          </w:p>
        </w:tc>
      </w:tr>
      <w:tr w:rsidR="009F42A7">
        <w:tc>
          <w:tcPr>
            <w:tcW w:w="833" w:type="pct"/>
          </w:tcPr>
          <w:p w:rsidR="009F42A7" w:rsidRDefault="00444DAD">
            <w:r>
              <w:t xml:space="preserve">Manufacturing Custom </w:t>
            </w:r>
          </w:p>
        </w:tc>
        <w:tc>
          <w:tcPr>
            <w:tcW w:w="833" w:type="pct"/>
          </w:tcPr>
          <w:p w:rsidR="009F42A7" w:rsidRDefault="00444DAD">
            <w:r>
              <w:t xml:space="preserve">1 and 2 </w:t>
            </w:r>
          </w:p>
        </w:tc>
        <w:tc>
          <w:tcPr>
            <w:tcW w:w="1667" w:type="pct"/>
          </w:tcPr>
          <w:p w:rsidR="009F42A7" w:rsidRDefault="00444DAD">
            <w:r>
              <w:t xml:space="preserve">A49 </w:t>
            </w:r>
          </w:p>
        </w:tc>
        <w:tc>
          <w:tcPr>
            <w:tcW w:w="1667" w:type="pct"/>
          </w:tcPr>
          <w:p w:rsidR="009F42A7" w:rsidRDefault="00444DAD">
            <w:r>
              <w:t>A minimum of 1,500 square feet or a minimum of 10% of the total building floor area, w</w:t>
            </w:r>
            <w:r>
              <w:t xml:space="preserve">hichever is greater, shall be designated for retail sales, services, and/or showroom of the custom manufactured goods and associated products (e.g. food and merchandise). </w:t>
            </w:r>
          </w:p>
        </w:tc>
      </w:tr>
      <w:tr w:rsidR="009F42A7">
        <w:tc>
          <w:tcPr>
            <w:tcW w:w="833" w:type="pct"/>
          </w:tcPr>
          <w:p w:rsidR="009F42A7" w:rsidRDefault="00444DAD">
            <w:r>
              <w:t xml:space="preserve">Mixed-Use </w:t>
            </w:r>
            <w:r>
              <w:br/>
              <w:t xml:space="preserve">Building </w:t>
            </w:r>
          </w:p>
        </w:tc>
        <w:tc>
          <w:tcPr>
            <w:tcW w:w="833" w:type="pct"/>
          </w:tcPr>
          <w:p w:rsidR="009F42A7" w:rsidRDefault="00444DAD">
            <w:r>
              <w:t xml:space="preserve">1 and 2 </w:t>
            </w:r>
          </w:p>
        </w:tc>
        <w:tc>
          <w:tcPr>
            <w:tcW w:w="1667" w:type="pct"/>
          </w:tcPr>
          <w:p w:rsidR="009F42A7" w:rsidRDefault="00444DAD">
            <w:r>
              <w:t xml:space="preserve">1. There shall be a minimum of 4,000 square feet on the ground </w:t>
            </w:r>
            <w:r>
              <w:lastRenderedPageBreak/>
              <w:t xml:space="preserve">floor of this building. </w:t>
            </w:r>
            <w:r>
              <w:br/>
              <w:t xml:space="preserve">2. General retail, personal service, grocery store, and/or food service establishment uses shall occupy at least 50% of the area of the ground floor. </w:t>
            </w:r>
            <w:r>
              <w:br/>
              <w:t>3. A minimum of f</w:t>
            </w:r>
            <w:r>
              <w:t xml:space="preserve">our (4) dwelling units shall be required within a mixed-use building. </w:t>
            </w:r>
            <w:r>
              <w:br/>
              <w:t xml:space="preserve">4. Dwelling units shall have a minimum of 750 square feet of floor area. </w:t>
            </w:r>
            <w:r>
              <w:br/>
              <w:t xml:space="preserve">5.  Access to dwelling units shall occur from the interior of the building. </w:t>
            </w:r>
          </w:p>
        </w:tc>
        <w:tc>
          <w:tcPr>
            <w:tcW w:w="1667" w:type="pct"/>
          </w:tcPr>
          <w:p w:rsidR="009F42A7" w:rsidRDefault="009F42A7"/>
        </w:tc>
      </w:tr>
    </w:tbl>
    <w:p w:rsidR="009F42A7" w:rsidRDefault="009F42A7"/>
    <w:p w:rsidR="009F42A7" w:rsidRDefault="00444DAD">
      <w:pPr>
        <w:pStyle w:val="List1"/>
      </w:pPr>
      <w:r>
        <w:t>(g)</w:t>
      </w:r>
      <w:r>
        <w:tab/>
      </w:r>
      <w:r>
        <w:rPr>
          <w:i/>
        </w:rPr>
        <w:t>Property development standa</w:t>
      </w:r>
      <w:r>
        <w:rPr>
          <w:i/>
        </w:rPr>
        <w:t>rds.</w:t>
      </w:r>
      <w:r>
        <w:t xml:space="preserve"> The following non-residential development standards shall be applicable within the San Jacinto overlay district and shall control over those of the underlying zoning district: </w:t>
      </w:r>
    </w:p>
    <w:tbl>
      <w:tblPr>
        <w:tblStyle w:val="Table12b246de2-a948-424e-ba49-b133bb99ceca"/>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93"/>
        <w:gridCol w:w="719"/>
        <w:gridCol w:w="719"/>
        <w:gridCol w:w="719"/>
        <w:gridCol w:w="3590"/>
      </w:tblGrid>
      <w:tr w:rsidR="009F42A7">
        <w:tc>
          <w:tcPr>
            <w:tcW w:w="1923" w:type="pct"/>
            <w:shd w:val="clear" w:color="auto" w:fill="696969"/>
          </w:tcPr>
          <w:p w:rsidR="009F42A7" w:rsidRDefault="00444DAD">
            <w:r>
              <w:rPr>
                <w:b/>
                <w:color w:val="FFFFFF"/>
              </w:rPr>
              <w:t>Non-residential Development Standards</w:t>
            </w:r>
            <w:r>
              <w:t xml:space="preserve"> </w:t>
            </w:r>
          </w:p>
        </w:tc>
        <w:tc>
          <w:tcPr>
            <w:tcW w:w="385" w:type="pct"/>
            <w:shd w:val="clear" w:color="auto" w:fill="696969"/>
          </w:tcPr>
          <w:p w:rsidR="009F42A7" w:rsidRDefault="00444DAD">
            <w:r>
              <w:rPr>
                <w:b/>
                <w:color w:val="FFFFFF"/>
              </w:rPr>
              <w:t>T1</w:t>
            </w:r>
            <w:r>
              <w:t xml:space="preserve"> </w:t>
            </w:r>
          </w:p>
        </w:tc>
        <w:tc>
          <w:tcPr>
            <w:tcW w:w="385" w:type="pct"/>
            <w:shd w:val="clear" w:color="auto" w:fill="696969"/>
          </w:tcPr>
          <w:p w:rsidR="009F42A7" w:rsidRDefault="00444DAD">
            <w:r>
              <w:rPr>
                <w:b/>
                <w:color w:val="FFFFFF"/>
              </w:rPr>
              <w:t>T2</w:t>
            </w:r>
            <w:r>
              <w:t xml:space="preserve"> </w:t>
            </w:r>
          </w:p>
        </w:tc>
        <w:tc>
          <w:tcPr>
            <w:tcW w:w="385" w:type="pct"/>
            <w:shd w:val="clear" w:color="auto" w:fill="696969"/>
          </w:tcPr>
          <w:p w:rsidR="009F42A7" w:rsidRDefault="00444DAD">
            <w:r>
              <w:rPr>
                <w:b/>
                <w:color w:val="FFFFFF"/>
              </w:rPr>
              <w:t>T3</w:t>
            </w:r>
            <w:r>
              <w:t xml:space="preserve"> </w:t>
            </w:r>
          </w:p>
        </w:tc>
        <w:tc>
          <w:tcPr>
            <w:tcW w:w="1923" w:type="pct"/>
            <w:shd w:val="clear" w:color="auto" w:fill="696969"/>
          </w:tcPr>
          <w:p w:rsidR="009F42A7" w:rsidRDefault="00444DAD">
            <w:r>
              <w:rPr>
                <w:b/>
                <w:color w:val="FFFFFF"/>
              </w:rPr>
              <w:t>Additional</w:t>
            </w:r>
            <w:r>
              <w:br/>
            </w:r>
            <w:r>
              <w:rPr>
                <w:b/>
                <w:color w:val="FFFFFF"/>
              </w:rPr>
              <w:t>Regulations</w:t>
            </w:r>
            <w:r>
              <w:br/>
            </w:r>
            <w:r>
              <w:t xml:space="preserve"> </w:t>
            </w:r>
          </w:p>
        </w:tc>
      </w:tr>
      <w:tr w:rsidR="009F42A7">
        <w:tc>
          <w:tcPr>
            <w:tcW w:w="1923" w:type="pct"/>
          </w:tcPr>
          <w:p w:rsidR="009F42A7" w:rsidRDefault="00444DAD">
            <w:r>
              <w:t xml:space="preserve">Block length (min/max) </w:t>
            </w:r>
          </w:p>
        </w:tc>
        <w:tc>
          <w:tcPr>
            <w:tcW w:w="1154" w:type="pct"/>
            <w:gridSpan w:val="3"/>
          </w:tcPr>
          <w:p w:rsidR="009F42A7" w:rsidRDefault="00444DAD">
            <w:r>
              <w:t xml:space="preserve">300—700 feet </w:t>
            </w:r>
          </w:p>
        </w:tc>
        <w:tc>
          <w:tcPr>
            <w:tcW w:w="1923" w:type="pct"/>
          </w:tcPr>
          <w:p w:rsidR="009F42A7" w:rsidRDefault="009F42A7"/>
        </w:tc>
      </w:tr>
      <w:tr w:rsidR="009F42A7">
        <w:tc>
          <w:tcPr>
            <w:tcW w:w="1923" w:type="pct"/>
          </w:tcPr>
          <w:p w:rsidR="009F42A7" w:rsidRDefault="00444DAD">
            <w:r>
              <w:t xml:space="preserve">Minimum lot area </w:t>
            </w:r>
          </w:p>
        </w:tc>
        <w:tc>
          <w:tcPr>
            <w:tcW w:w="1154" w:type="pct"/>
            <w:gridSpan w:val="3"/>
          </w:tcPr>
          <w:p w:rsidR="009F42A7" w:rsidRDefault="00444DAD">
            <w:r>
              <w:t xml:space="preserve">32,670 square feet </w:t>
            </w:r>
            <w:r>
              <w:br/>
              <w:t xml:space="preserve">(¾ acre) </w:t>
            </w:r>
          </w:p>
        </w:tc>
        <w:tc>
          <w:tcPr>
            <w:tcW w:w="1923" w:type="pct"/>
          </w:tcPr>
          <w:p w:rsidR="009F42A7" w:rsidRDefault="009F42A7"/>
        </w:tc>
      </w:tr>
      <w:tr w:rsidR="009F42A7">
        <w:tc>
          <w:tcPr>
            <w:tcW w:w="1923" w:type="pct"/>
          </w:tcPr>
          <w:p w:rsidR="009F42A7" w:rsidRDefault="00444DAD">
            <w:r>
              <w:t xml:space="preserve">Site coverage </w:t>
            </w:r>
          </w:p>
        </w:tc>
        <w:tc>
          <w:tcPr>
            <w:tcW w:w="385" w:type="pct"/>
          </w:tcPr>
          <w:p w:rsidR="009F42A7" w:rsidRDefault="00444DAD">
            <w:r>
              <w:t xml:space="preserve">60% </w:t>
            </w:r>
          </w:p>
        </w:tc>
        <w:tc>
          <w:tcPr>
            <w:tcW w:w="385" w:type="pct"/>
          </w:tcPr>
          <w:p w:rsidR="009F42A7" w:rsidRDefault="00444DAD">
            <w:r>
              <w:t xml:space="preserve">70% </w:t>
            </w:r>
          </w:p>
        </w:tc>
        <w:tc>
          <w:tcPr>
            <w:tcW w:w="385" w:type="pct"/>
          </w:tcPr>
          <w:p w:rsidR="009F42A7" w:rsidRDefault="00444DAD">
            <w:r>
              <w:t xml:space="preserve">80% </w:t>
            </w:r>
          </w:p>
        </w:tc>
        <w:tc>
          <w:tcPr>
            <w:tcW w:w="1923" w:type="pct"/>
          </w:tcPr>
          <w:p w:rsidR="009F42A7" w:rsidRDefault="00444DAD">
            <w:r>
              <w:t xml:space="preserve">Developments with mixed-use buildings with more than 7 dwelling units shall be permitted a site coverage of 80%. </w:t>
            </w:r>
          </w:p>
        </w:tc>
      </w:tr>
      <w:tr w:rsidR="009F42A7">
        <w:tc>
          <w:tcPr>
            <w:tcW w:w="5000" w:type="pct"/>
            <w:gridSpan w:val="5"/>
          </w:tcPr>
          <w:p w:rsidR="009F42A7" w:rsidRDefault="00444DAD">
            <w:r>
              <w:rPr>
                <w:b/>
              </w:rPr>
              <w:t>Minimum Lot Dimensions</w:t>
            </w:r>
            <w:r>
              <w:br/>
            </w:r>
          </w:p>
        </w:tc>
      </w:tr>
      <w:tr w:rsidR="009F42A7">
        <w:tc>
          <w:tcPr>
            <w:tcW w:w="1923" w:type="pct"/>
          </w:tcPr>
          <w:p w:rsidR="009F42A7" w:rsidRDefault="00444DAD">
            <w:r>
              <w:t xml:space="preserve">Minimum lot width at primary </w:t>
            </w:r>
            <w:r>
              <w:br/>
              <w:t xml:space="preserve">building line </w:t>
            </w:r>
          </w:p>
        </w:tc>
        <w:tc>
          <w:tcPr>
            <w:tcW w:w="1154" w:type="pct"/>
            <w:gridSpan w:val="3"/>
          </w:tcPr>
          <w:p w:rsidR="009F42A7" w:rsidRDefault="00444DAD">
            <w:r>
              <w:t xml:space="preserve">100 ft. </w:t>
            </w:r>
          </w:p>
        </w:tc>
        <w:tc>
          <w:tcPr>
            <w:tcW w:w="1923" w:type="pct"/>
          </w:tcPr>
          <w:p w:rsidR="009F42A7" w:rsidRDefault="00444DAD">
            <w:r>
              <w:t xml:space="preserve">Minimum lot dimensions shall only apply to lots with frontage along arterial roads. </w:t>
            </w:r>
          </w:p>
        </w:tc>
      </w:tr>
      <w:tr w:rsidR="009F42A7">
        <w:tc>
          <w:tcPr>
            <w:tcW w:w="5000" w:type="pct"/>
            <w:gridSpan w:val="5"/>
          </w:tcPr>
          <w:p w:rsidR="009F42A7" w:rsidRDefault="00444DAD">
            <w:r>
              <w:rPr>
                <w:b/>
              </w:rPr>
              <w:t>Minimum Road Frontage</w:t>
            </w:r>
            <w:r>
              <w:br/>
            </w:r>
          </w:p>
        </w:tc>
      </w:tr>
      <w:tr w:rsidR="009F42A7">
        <w:tc>
          <w:tcPr>
            <w:tcW w:w="1923" w:type="pct"/>
          </w:tcPr>
          <w:p w:rsidR="009F42A7" w:rsidRDefault="00444DAD">
            <w:r>
              <w:t xml:space="preserve">Frontage requirement along arterial </w:t>
            </w:r>
          </w:p>
        </w:tc>
        <w:tc>
          <w:tcPr>
            <w:tcW w:w="1154" w:type="pct"/>
            <w:gridSpan w:val="3"/>
          </w:tcPr>
          <w:p w:rsidR="009F42A7" w:rsidRDefault="00444DAD">
            <w:r>
              <w:t xml:space="preserve">100 ft. </w:t>
            </w:r>
          </w:p>
        </w:tc>
        <w:tc>
          <w:tcPr>
            <w:tcW w:w="1923" w:type="pct"/>
          </w:tcPr>
          <w:p w:rsidR="009F42A7" w:rsidRDefault="00444DAD">
            <w:r>
              <w:t xml:space="preserve">A minimum of 75 ft. of street. </w:t>
            </w:r>
          </w:p>
        </w:tc>
      </w:tr>
      <w:tr w:rsidR="009F42A7">
        <w:tc>
          <w:tcPr>
            <w:tcW w:w="1923" w:type="pct"/>
          </w:tcPr>
          <w:p w:rsidR="009F42A7" w:rsidRDefault="00444DAD">
            <w:r>
              <w:t xml:space="preserve">Frontage requirement along </w:t>
            </w:r>
            <w:r>
              <w:br/>
              <w:t xml:space="preserve">non-arterials </w:t>
            </w:r>
          </w:p>
        </w:tc>
        <w:tc>
          <w:tcPr>
            <w:tcW w:w="1154" w:type="pct"/>
            <w:gridSpan w:val="3"/>
          </w:tcPr>
          <w:p w:rsidR="009F42A7" w:rsidRDefault="00444DAD">
            <w:r>
              <w:t xml:space="preserve">50 ft. </w:t>
            </w:r>
          </w:p>
        </w:tc>
        <w:tc>
          <w:tcPr>
            <w:tcW w:w="1923" w:type="pct"/>
          </w:tcPr>
          <w:p w:rsidR="009F42A7" w:rsidRDefault="00444DAD">
            <w:r>
              <w:t xml:space="preserve">Frontage is required for a parcel with curb cut(s). </w:t>
            </w:r>
          </w:p>
        </w:tc>
      </w:tr>
      <w:tr w:rsidR="009F42A7">
        <w:tc>
          <w:tcPr>
            <w:tcW w:w="5000" w:type="pct"/>
            <w:gridSpan w:val="5"/>
          </w:tcPr>
          <w:p w:rsidR="009F42A7" w:rsidRDefault="00444DAD">
            <w:r>
              <w:rPr>
                <w:b/>
              </w:rPr>
              <w:t>Building Form and Location</w:t>
            </w:r>
            <w:r>
              <w:br/>
            </w:r>
          </w:p>
        </w:tc>
      </w:tr>
      <w:tr w:rsidR="009F42A7">
        <w:tc>
          <w:tcPr>
            <w:tcW w:w="1923" w:type="pct"/>
          </w:tcPr>
          <w:p w:rsidR="009F42A7" w:rsidRDefault="00444DAD">
            <w:r>
              <w:t xml:space="preserve">Minimum height </w:t>
            </w:r>
          </w:p>
        </w:tc>
        <w:tc>
          <w:tcPr>
            <w:tcW w:w="385" w:type="pct"/>
          </w:tcPr>
          <w:p w:rsidR="009F42A7" w:rsidRDefault="00444DAD">
            <w:r>
              <w:t xml:space="preserve">24 ft. </w:t>
            </w:r>
          </w:p>
        </w:tc>
        <w:tc>
          <w:tcPr>
            <w:tcW w:w="385" w:type="pct"/>
          </w:tcPr>
          <w:p w:rsidR="009F42A7" w:rsidRDefault="00444DAD">
            <w:r>
              <w:t xml:space="preserve">20 ft. </w:t>
            </w:r>
          </w:p>
        </w:tc>
        <w:tc>
          <w:tcPr>
            <w:tcW w:w="385" w:type="pct"/>
          </w:tcPr>
          <w:p w:rsidR="009F42A7" w:rsidRDefault="00444DAD">
            <w:r>
              <w:t xml:space="preserve">N/A </w:t>
            </w:r>
          </w:p>
        </w:tc>
        <w:tc>
          <w:tcPr>
            <w:tcW w:w="1923" w:type="pct"/>
          </w:tcPr>
          <w:p w:rsidR="009F42A7" w:rsidRDefault="009F42A7"/>
        </w:tc>
      </w:tr>
      <w:tr w:rsidR="009F42A7">
        <w:tc>
          <w:tcPr>
            <w:tcW w:w="1923" w:type="pct"/>
          </w:tcPr>
          <w:p w:rsidR="009F42A7" w:rsidRDefault="00444DAD">
            <w:r>
              <w:t xml:space="preserve">Maximum height </w:t>
            </w:r>
          </w:p>
        </w:tc>
        <w:tc>
          <w:tcPr>
            <w:tcW w:w="1154" w:type="pct"/>
            <w:gridSpan w:val="3"/>
          </w:tcPr>
          <w:p w:rsidR="009F42A7" w:rsidRDefault="00444DAD">
            <w:r>
              <w:t xml:space="preserve">75 ft. </w:t>
            </w:r>
          </w:p>
        </w:tc>
        <w:tc>
          <w:tcPr>
            <w:tcW w:w="1923" w:type="pct"/>
          </w:tcPr>
          <w:p w:rsidR="009F42A7" w:rsidRDefault="00444DAD">
            <w:r>
              <w:t xml:space="preserve">Buildings adjacent to existing or planned residential uses shall follow the building orientation standards found in section 3.12 of the ULDC. </w:t>
            </w:r>
          </w:p>
        </w:tc>
      </w:tr>
      <w:tr w:rsidR="009F42A7">
        <w:tc>
          <w:tcPr>
            <w:tcW w:w="1923" w:type="pct"/>
          </w:tcPr>
          <w:p w:rsidR="009F42A7" w:rsidRDefault="00444DAD">
            <w:r>
              <w:t xml:space="preserve">Minimum front setback </w:t>
            </w:r>
          </w:p>
        </w:tc>
        <w:tc>
          <w:tcPr>
            <w:tcW w:w="1154" w:type="pct"/>
            <w:gridSpan w:val="3"/>
          </w:tcPr>
          <w:p w:rsidR="009F42A7" w:rsidRDefault="00444DAD">
            <w:r>
              <w:t xml:space="preserve">12 ft. </w:t>
            </w:r>
          </w:p>
        </w:tc>
        <w:tc>
          <w:tcPr>
            <w:tcW w:w="1923" w:type="pct"/>
          </w:tcPr>
          <w:p w:rsidR="009F42A7" w:rsidRDefault="009F42A7"/>
        </w:tc>
      </w:tr>
      <w:tr w:rsidR="009F42A7">
        <w:tc>
          <w:tcPr>
            <w:tcW w:w="1923" w:type="pct"/>
          </w:tcPr>
          <w:p w:rsidR="009F42A7" w:rsidRDefault="00444DAD">
            <w:r>
              <w:t xml:space="preserve">Maximum front setback </w:t>
            </w:r>
          </w:p>
        </w:tc>
        <w:tc>
          <w:tcPr>
            <w:tcW w:w="385" w:type="pct"/>
          </w:tcPr>
          <w:p w:rsidR="009F42A7" w:rsidRDefault="00444DAD">
            <w:r>
              <w:t xml:space="preserve">25 ft. </w:t>
            </w:r>
          </w:p>
        </w:tc>
        <w:tc>
          <w:tcPr>
            <w:tcW w:w="385" w:type="pct"/>
          </w:tcPr>
          <w:p w:rsidR="009F42A7" w:rsidRDefault="00444DAD">
            <w:r>
              <w:t xml:space="preserve">85 ft. </w:t>
            </w:r>
          </w:p>
        </w:tc>
        <w:tc>
          <w:tcPr>
            <w:tcW w:w="385" w:type="pct"/>
          </w:tcPr>
          <w:p w:rsidR="009F42A7" w:rsidRDefault="00444DAD">
            <w:r>
              <w:t xml:space="preserve">85 ft. </w:t>
            </w:r>
          </w:p>
        </w:tc>
        <w:tc>
          <w:tcPr>
            <w:tcW w:w="1923" w:type="pct"/>
          </w:tcPr>
          <w:p w:rsidR="009F42A7" w:rsidRDefault="009F42A7"/>
        </w:tc>
      </w:tr>
      <w:tr w:rsidR="009F42A7">
        <w:tc>
          <w:tcPr>
            <w:tcW w:w="1923" w:type="pct"/>
          </w:tcPr>
          <w:p w:rsidR="009F42A7" w:rsidRDefault="00444DAD">
            <w:r>
              <w:t xml:space="preserve">Side-yard interior lot setback </w:t>
            </w:r>
          </w:p>
        </w:tc>
        <w:tc>
          <w:tcPr>
            <w:tcW w:w="385" w:type="pct"/>
          </w:tcPr>
          <w:p w:rsidR="009F42A7" w:rsidRDefault="00444DAD">
            <w:r>
              <w:t xml:space="preserve">0 ft. </w:t>
            </w:r>
          </w:p>
        </w:tc>
        <w:tc>
          <w:tcPr>
            <w:tcW w:w="385" w:type="pct"/>
          </w:tcPr>
          <w:p w:rsidR="009F42A7" w:rsidRDefault="00444DAD">
            <w:r>
              <w:t xml:space="preserve">10 ft. </w:t>
            </w:r>
          </w:p>
        </w:tc>
        <w:tc>
          <w:tcPr>
            <w:tcW w:w="385" w:type="pct"/>
          </w:tcPr>
          <w:p w:rsidR="009F42A7" w:rsidRDefault="00444DAD">
            <w:r>
              <w:t xml:space="preserve">10 ft. </w:t>
            </w:r>
          </w:p>
        </w:tc>
        <w:tc>
          <w:tcPr>
            <w:tcW w:w="1923" w:type="pct"/>
          </w:tcPr>
          <w:p w:rsidR="009F42A7" w:rsidRDefault="009F42A7"/>
        </w:tc>
      </w:tr>
      <w:tr w:rsidR="009F42A7">
        <w:tc>
          <w:tcPr>
            <w:tcW w:w="1923" w:type="pct"/>
          </w:tcPr>
          <w:p w:rsidR="009F42A7" w:rsidRDefault="00444DAD">
            <w:r>
              <w:t xml:space="preserve">Street-side setback </w:t>
            </w:r>
          </w:p>
        </w:tc>
        <w:tc>
          <w:tcPr>
            <w:tcW w:w="1154" w:type="pct"/>
            <w:gridSpan w:val="3"/>
          </w:tcPr>
          <w:p w:rsidR="009F42A7" w:rsidRDefault="00444DAD">
            <w:r>
              <w:t xml:space="preserve">Same as front setback </w:t>
            </w:r>
          </w:p>
        </w:tc>
        <w:tc>
          <w:tcPr>
            <w:tcW w:w="1923" w:type="pct"/>
          </w:tcPr>
          <w:p w:rsidR="009F42A7" w:rsidRDefault="009F42A7"/>
        </w:tc>
      </w:tr>
      <w:tr w:rsidR="009F42A7">
        <w:tc>
          <w:tcPr>
            <w:tcW w:w="1923" w:type="pct"/>
          </w:tcPr>
          <w:p w:rsidR="009F42A7" w:rsidRDefault="00444DAD">
            <w:r>
              <w:t xml:space="preserve">Minimum rear-yard setback </w:t>
            </w:r>
          </w:p>
        </w:tc>
        <w:tc>
          <w:tcPr>
            <w:tcW w:w="1154" w:type="pct"/>
            <w:gridSpan w:val="3"/>
          </w:tcPr>
          <w:p w:rsidR="009F42A7" w:rsidRDefault="00444DAD">
            <w:r>
              <w:t xml:space="preserve">15 ft. </w:t>
            </w:r>
          </w:p>
        </w:tc>
        <w:tc>
          <w:tcPr>
            <w:tcW w:w="1923" w:type="pct"/>
          </w:tcPr>
          <w:p w:rsidR="009F42A7" w:rsidRDefault="009F42A7"/>
        </w:tc>
      </w:tr>
    </w:tbl>
    <w:p w:rsidR="009F42A7" w:rsidRDefault="009F42A7"/>
    <w:p w:rsidR="009F42A7" w:rsidRDefault="009F42A7"/>
    <w:p w:rsidR="009F42A7" w:rsidRDefault="00444DAD">
      <w:pPr>
        <w:pStyle w:val="ImageCaptionAboveLeft"/>
      </w:pPr>
      <w:r>
        <w:rPr>
          <w:b w:val="0"/>
          <w:i/>
        </w:rPr>
        <w:t>Figure SJO-2. Public and Private Realm</w:t>
      </w:r>
      <w:r>
        <w:br/>
      </w:r>
    </w:p>
    <w:p w:rsidR="009F42A7" w:rsidRDefault="00444DAD">
      <w:pPr>
        <w:pStyle w:val="ImageLeft"/>
      </w:pPr>
      <w:r>
        <w:rPr>
          <w:noProof/>
        </w:rPr>
        <w:drawing>
          <wp:inline distT="0" distB="0" distL="0" distR="0">
            <wp:extent cx="4876800" cy="1892300"/>
            <wp:effectExtent l="0" t="0" r="0" b="0"/>
            <wp:docPr id="2" name="Drawing 1" descr="2-082B.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876800" cy="1892300"/>
                    </a:xfrm>
                    <a:prstGeom prst="rect">
                      <a:avLst/>
                    </a:prstGeom>
                  </pic:spPr>
                </pic:pic>
              </a:graphicData>
            </a:graphic>
          </wp:inline>
        </w:drawing>
      </w:r>
    </w:p>
    <w:p w:rsidR="009F42A7" w:rsidRDefault="00444DAD">
      <w:pPr>
        <w:pStyle w:val="List2"/>
      </w:pPr>
      <w:r>
        <w:t>(1)</w:t>
      </w:r>
      <w:r>
        <w:tab/>
      </w:r>
      <w:r>
        <w:rPr>
          <w:i/>
        </w:rPr>
        <w:t>Site design.</w:t>
      </w:r>
      <w:r>
        <w:t xml:space="preserve"> Site design goals include clustering of buildings in multiple building projects. This method encourages pedestrian walkable/sitting areas and usable open space as part of the building placement and design. </w:t>
      </w:r>
    </w:p>
    <w:p w:rsidR="009F42A7" w:rsidRDefault="00444DAD">
      <w:pPr>
        <w:pStyle w:val="List3"/>
      </w:pPr>
      <w:r>
        <w:t>a.</w:t>
      </w:r>
      <w:r>
        <w:tab/>
      </w:r>
      <w:r>
        <w:rPr>
          <w:i/>
        </w:rPr>
        <w:t>Building orientation.</w:t>
      </w:r>
    </w:p>
    <w:p w:rsidR="009F42A7" w:rsidRDefault="00444DAD">
      <w:pPr>
        <w:pStyle w:val="List4"/>
      </w:pPr>
      <w:r>
        <w:t>1.</w:t>
      </w:r>
      <w:r>
        <w:tab/>
        <w:t xml:space="preserve">Building(s) and the </w:t>
      </w:r>
      <w:r>
        <w:t xml:space="preserve">primary entrances shall be oriented towards the primary street frontage, public plazas, and usable open space - not to a parking lot. This does not preclude the additional use of secondary entrances. </w:t>
      </w:r>
    </w:p>
    <w:p w:rsidR="009F42A7" w:rsidRDefault="00444DAD">
      <w:pPr>
        <w:pStyle w:val="List4"/>
      </w:pPr>
      <w:r>
        <w:t>2.</w:t>
      </w:r>
      <w:r>
        <w:tab/>
        <w:t>Primary buildings located on a corner lot may provid</w:t>
      </w:r>
      <w:r>
        <w:t xml:space="preserve">e a primary entrance(s) at the corner of the building. </w:t>
      </w:r>
    </w:p>
    <w:p w:rsidR="009F42A7" w:rsidRDefault="00444DAD">
      <w:pPr>
        <w:pStyle w:val="List4"/>
      </w:pPr>
      <w:r>
        <w:t>3.</w:t>
      </w:r>
      <w:r>
        <w:tab/>
        <w:t xml:space="preserve">The secondary buildings constructed and all subsequent buildings may not be further than 185 linear feet from another building. </w:t>
      </w:r>
    </w:p>
    <w:p w:rsidR="009F42A7" w:rsidRDefault="00444DAD">
      <w:pPr>
        <w:pStyle w:val="List3"/>
      </w:pPr>
      <w:r>
        <w:t>b.</w:t>
      </w:r>
      <w:r>
        <w:tab/>
      </w:r>
      <w:r>
        <w:rPr>
          <w:i/>
        </w:rPr>
        <w:t>Usable open space.</w:t>
      </w:r>
      <w:r>
        <w:t xml:space="preserve"> This subsection (g)(</w:t>
      </w:r>
      <w:proofErr w:type="gramStart"/>
      <w:r>
        <w:t>l)b</w:t>
      </w:r>
      <w:proofErr w:type="gramEnd"/>
      <w:r>
        <w:t xml:space="preserve"> shall only apply to Ti</w:t>
      </w:r>
      <w:r>
        <w:t xml:space="preserve">ers 1 and 2 of the San Jacinto overlay district and shall be required for 20,000 square feet or more of non-residential development proposed within a project area. </w:t>
      </w:r>
    </w:p>
    <w:p w:rsidR="009F42A7" w:rsidRDefault="00444DAD">
      <w:pPr>
        <w:pStyle w:val="List4"/>
      </w:pPr>
      <w:r>
        <w:t>1.</w:t>
      </w:r>
      <w:r>
        <w:tab/>
        <w:t>All usable open space, with the exception of the trail system, shall have a minimum dept</w:t>
      </w:r>
      <w:r>
        <w:t xml:space="preserve">h of 20 feet and a minimum total area of 650 square feet. </w:t>
      </w:r>
    </w:p>
    <w:p w:rsidR="009F42A7" w:rsidRDefault="00444DAD">
      <w:pPr>
        <w:pStyle w:val="List4"/>
      </w:pPr>
      <w:r>
        <w:t>2.</w:t>
      </w:r>
      <w:r>
        <w:tab/>
        <w:t xml:space="preserve">Park benches and bike parking racks/facilities shall be incorporated into the usable open space. </w:t>
      </w:r>
    </w:p>
    <w:p w:rsidR="009F42A7" w:rsidRDefault="00444DAD">
      <w:pPr>
        <w:pStyle w:val="List4"/>
      </w:pPr>
      <w:r>
        <w:t>3.</w:t>
      </w:r>
      <w:r>
        <w:tab/>
        <w:t xml:space="preserve">Unless arranged as a courtyard with buildings on three sides, usable open space shall abut a </w:t>
      </w:r>
      <w:r>
        <w:t xml:space="preserve">street. </w:t>
      </w:r>
    </w:p>
    <w:p w:rsidR="009F42A7" w:rsidRDefault="00444DAD">
      <w:pPr>
        <w:pStyle w:val="List4"/>
      </w:pPr>
      <w:r>
        <w:t>4.</w:t>
      </w:r>
      <w:r>
        <w:tab/>
        <w:t xml:space="preserve">Two or more of following amenities shall be required: </w:t>
      </w:r>
    </w:p>
    <w:p w:rsidR="009F42A7" w:rsidRDefault="00444DAD">
      <w:pPr>
        <w:pStyle w:val="List5"/>
      </w:pPr>
      <w:r>
        <w:t>(a)</w:t>
      </w:r>
      <w:r>
        <w:tab/>
        <w:t xml:space="preserve">Natural and undeveloped landscaped area that is not already required by this San Jacinto overlay district or the ULDC; </w:t>
      </w:r>
    </w:p>
    <w:p w:rsidR="009F42A7" w:rsidRDefault="00444DAD">
      <w:pPr>
        <w:pStyle w:val="List5"/>
      </w:pPr>
      <w:r>
        <w:t>(b)</w:t>
      </w:r>
      <w:r>
        <w:tab/>
      </w:r>
      <w:r>
        <w:t xml:space="preserve">A patio or plaza with shaded spaces (shade structure) with flexible or permanent seating; </w:t>
      </w:r>
    </w:p>
    <w:p w:rsidR="009F42A7" w:rsidRDefault="00444DAD">
      <w:pPr>
        <w:pStyle w:val="List5"/>
      </w:pPr>
      <w:r>
        <w:lastRenderedPageBreak/>
        <w:t>(c)</w:t>
      </w:r>
      <w:r>
        <w:tab/>
        <w:t xml:space="preserve">A play area with amenities or equipment suitable for children such as, but not limited to, seesaw, merry-go-round, swing set, slide, and jungle gym; </w:t>
      </w:r>
    </w:p>
    <w:p w:rsidR="009F42A7" w:rsidRDefault="00444DAD">
      <w:pPr>
        <w:pStyle w:val="List5"/>
      </w:pPr>
      <w:r>
        <w:t>(d)</w:t>
      </w:r>
      <w:r>
        <w:tab/>
        <w:t>Ponds d</w:t>
      </w:r>
      <w:r>
        <w:t xml:space="preserve">esigned as an amenity with shade spaces (shade structure) with flexible or permanent seating and approval by the director; </w:t>
      </w:r>
    </w:p>
    <w:p w:rsidR="009F42A7" w:rsidRDefault="00444DAD">
      <w:pPr>
        <w:pStyle w:val="List5"/>
      </w:pPr>
      <w:r>
        <w:t>(e)</w:t>
      </w:r>
      <w:r>
        <w:tab/>
        <w:t>Multi-use trail that is directly extended from the Goose Creek Trail or any existing and adjacent trails that are connected to t</w:t>
      </w:r>
      <w:r>
        <w:t xml:space="preserve">he Goose Creek Trail along the local or collector streets in the circulation plan; and </w:t>
      </w:r>
    </w:p>
    <w:p w:rsidR="009F42A7" w:rsidRDefault="00444DAD">
      <w:pPr>
        <w:pStyle w:val="List5"/>
      </w:pPr>
      <w:r>
        <w:t>(f)</w:t>
      </w:r>
      <w:r>
        <w:tab/>
        <w:t>Ground floor patio and decks for dwelling units shall only be oriented towards public or private streets that are not designated as an arterial road on the major th</w:t>
      </w:r>
      <w:r>
        <w:t xml:space="preserve">oroughfare plan. </w:t>
      </w:r>
    </w:p>
    <w:p w:rsidR="009F42A7" w:rsidRDefault="00444DAD">
      <w:pPr>
        <w:pStyle w:val="List2"/>
      </w:pPr>
      <w:r>
        <w:t>(2)</w:t>
      </w:r>
      <w:r>
        <w:tab/>
      </w:r>
      <w:r>
        <w:rPr>
          <w:i/>
        </w:rPr>
        <w:t>Architectural/urban design standards.</w:t>
      </w:r>
      <w:r>
        <w:t xml:space="preserve"> The following principles intend to promote quality design appearance and visual interest. The buildings should enforce a street edge establishing a better pedestrian corridor. However, long, unart</w:t>
      </w:r>
      <w:r>
        <w:t xml:space="preserve">iculated building facades should be eliminated. </w:t>
      </w:r>
    </w:p>
    <w:p w:rsidR="009F42A7" w:rsidRDefault="00444DAD">
      <w:pPr>
        <w:pStyle w:val="List3"/>
      </w:pPr>
      <w:r>
        <w:t>a.</w:t>
      </w:r>
      <w:r>
        <w:tab/>
      </w:r>
      <w:r>
        <w:rPr>
          <w:i/>
        </w:rPr>
        <w:t>Entrances.</w:t>
      </w:r>
      <w:r>
        <w:t xml:space="preserve"> Entrances (excluding service doors) into buildings shall be easily identified through building design with at least one of the following: </w:t>
      </w:r>
    </w:p>
    <w:tbl>
      <w:tblPr>
        <w:tblStyle w:val="Table1c59ccc9d-c5b1-477f-9b32-d50a60331c06"/>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70"/>
        <w:gridCol w:w="4670"/>
      </w:tblGrid>
      <w:tr w:rsidR="009F42A7">
        <w:tc>
          <w:tcPr>
            <w:tcW w:w="2500" w:type="pct"/>
          </w:tcPr>
          <w:p w:rsidR="009F42A7" w:rsidRDefault="00444DAD">
            <w:r>
              <w:rPr>
                <w:sz w:val="22"/>
              </w:rPr>
              <w:t xml:space="preserve">Canopies or porticos </w:t>
            </w:r>
          </w:p>
        </w:tc>
        <w:tc>
          <w:tcPr>
            <w:tcW w:w="2500" w:type="pct"/>
          </w:tcPr>
          <w:p w:rsidR="009F42A7" w:rsidRDefault="00444DAD">
            <w:r>
              <w:rPr>
                <w:sz w:val="22"/>
              </w:rPr>
              <w:t xml:space="preserve">Recesses and/or projections </w:t>
            </w:r>
          </w:p>
        </w:tc>
      </w:tr>
      <w:tr w:rsidR="009F42A7">
        <w:tc>
          <w:tcPr>
            <w:tcW w:w="2500" w:type="pct"/>
          </w:tcPr>
          <w:p w:rsidR="009F42A7" w:rsidRDefault="00444DAD">
            <w:r>
              <w:rPr>
                <w:sz w:val="22"/>
              </w:rPr>
              <w:t>Pe</w:t>
            </w:r>
            <w:r>
              <w:rPr>
                <w:sz w:val="22"/>
              </w:rPr>
              <w:t xml:space="preserve">aked roof forms </w:t>
            </w:r>
          </w:p>
        </w:tc>
        <w:tc>
          <w:tcPr>
            <w:tcW w:w="2500" w:type="pct"/>
          </w:tcPr>
          <w:p w:rsidR="009F42A7" w:rsidRDefault="00444DAD">
            <w:r>
              <w:rPr>
                <w:sz w:val="22"/>
              </w:rPr>
              <w:t xml:space="preserve">Arches </w:t>
            </w:r>
          </w:p>
        </w:tc>
      </w:tr>
      <w:tr w:rsidR="009F42A7">
        <w:tc>
          <w:tcPr>
            <w:tcW w:w="2500" w:type="pct"/>
          </w:tcPr>
          <w:p w:rsidR="009F42A7" w:rsidRDefault="00444DAD">
            <w:r>
              <w:rPr>
                <w:sz w:val="22"/>
              </w:rPr>
              <w:t xml:space="preserve">Raised cornice parapets </w:t>
            </w:r>
          </w:p>
        </w:tc>
        <w:tc>
          <w:tcPr>
            <w:tcW w:w="2500" w:type="pct"/>
          </w:tcPr>
          <w:p w:rsidR="009F42A7" w:rsidRDefault="00444DAD">
            <w:r>
              <w:rPr>
                <w:sz w:val="22"/>
              </w:rPr>
              <w:t xml:space="preserve">Other features approved by the director </w:t>
            </w:r>
          </w:p>
        </w:tc>
      </w:tr>
    </w:tbl>
    <w:p w:rsidR="009F42A7" w:rsidRDefault="009F42A7"/>
    <w:p w:rsidR="009F42A7" w:rsidRDefault="00444DAD">
      <w:pPr>
        <w:pStyle w:val="List3"/>
      </w:pPr>
      <w:r>
        <w:t>b.</w:t>
      </w:r>
      <w:r>
        <w:tab/>
      </w:r>
      <w:r>
        <w:rPr>
          <w:i/>
        </w:rPr>
        <w:t>Materials.</w:t>
      </w:r>
      <w:r>
        <w:t xml:space="preserve"> Building materials used for all four sides of buildings shall follow the masonry standards and percentages within the ULDC. This overlay district pr</w:t>
      </w:r>
      <w:r>
        <w:t xml:space="preserve">ohibits the use of synthetic stucco and/or EIFS. </w:t>
      </w:r>
    </w:p>
    <w:p w:rsidR="009F42A7" w:rsidRDefault="00444DAD">
      <w:pPr>
        <w:pStyle w:val="List3"/>
      </w:pPr>
      <w:r>
        <w:t>c.</w:t>
      </w:r>
      <w:r>
        <w:tab/>
      </w:r>
      <w:r>
        <w:rPr>
          <w:i/>
        </w:rPr>
        <w:t>Articulation.</w:t>
      </w:r>
      <w:r>
        <w:t xml:space="preserve"> Facade articulations shall occur with a minimum of ten-inch plane variation each 35 feet. </w:t>
      </w:r>
    </w:p>
    <w:p w:rsidR="009F42A7" w:rsidRDefault="00444DAD">
      <w:pPr>
        <w:pStyle w:val="List3"/>
      </w:pPr>
      <w:r>
        <w:t>d.</w:t>
      </w:r>
      <w:r>
        <w:tab/>
      </w:r>
      <w:r>
        <w:rPr>
          <w:i/>
        </w:rPr>
        <w:t>Wall heights.</w:t>
      </w:r>
      <w:r>
        <w:t xml:space="preserve"> Wall heights shall be varied and articulated with a minimum of 24-inch variation each 35 feet. </w:t>
      </w:r>
    </w:p>
    <w:p w:rsidR="009F42A7" w:rsidRDefault="009F42A7"/>
    <w:p w:rsidR="009F42A7" w:rsidRDefault="00444DAD">
      <w:pPr>
        <w:pStyle w:val="ImageCaptionAboveLeft"/>
      </w:pPr>
      <w:r>
        <w:rPr>
          <w:b w:val="0"/>
          <w:i/>
        </w:rPr>
        <w:t>Figure SJO-3. Articulation</w:t>
      </w:r>
      <w:r>
        <w:br/>
      </w:r>
    </w:p>
    <w:p w:rsidR="009F42A7" w:rsidRDefault="00444DAD">
      <w:pPr>
        <w:pStyle w:val="ImageLeft"/>
      </w:pPr>
      <w:r>
        <w:rPr>
          <w:noProof/>
        </w:rPr>
        <w:drawing>
          <wp:inline distT="0" distB="0" distL="0" distR="0">
            <wp:extent cx="4267200" cy="1981200"/>
            <wp:effectExtent l="0" t="0" r="0" b="0"/>
            <wp:docPr id="3" name="Drawing 2" descr="2-082C.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267200" cy="1981200"/>
                    </a:xfrm>
                    <a:prstGeom prst="rect">
                      <a:avLst/>
                    </a:prstGeom>
                  </pic:spPr>
                </pic:pic>
              </a:graphicData>
            </a:graphic>
          </wp:inline>
        </w:drawing>
      </w:r>
    </w:p>
    <w:p w:rsidR="009F42A7" w:rsidRDefault="00444DAD">
      <w:pPr>
        <w:pStyle w:val="List3"/>
      </w:pPr>
      <w:r>
        <w:t>e.</w:t>
      </w:r>
      <w:r>
        <w:tab/>
      </w:r>
      <w:r>
        <w:rPr>
          <w:i/>
        </w:rPr>
        <w:t>Glazing.</w:t>
      </w:r>
      <w:r>
        <w:t xml:space="preserve"> A minimum of 50 percent of the street-facing facade between two feet and eight feet in height on the ground floor must be comprised of windows. A minimum of 30 percent is required </w:t>
      </w:r>
      <w:r>
        <w:lastRenderedPageBreak/>
        <w:t>for all other facades, except where a facade faces or uses an area designat</w:t>
      </w:r>
      <w:r>
        <w:t xml:space="preserve">ed and constructed for service delivery or business storage. </w:t>
      </w:r>
    </w:p>
    <w:p w:rsidR="009F42A7" w:rsidRDefault="00444DAD">
      <w:pPr>
        <w:pStyle w:val="List3"/>
      </w:pPr>
      <w:r>
        <w:t>f.</w:t>
      </w:r>
      <w:r>
        <w:tab/>
      </w:r>
      <w:r>
        <w:rPr>
          <w:i/>
        </w:rPr>
        <w:t>Colors.</w:t>
      </w:r>
    </w:p>
    <w:p w:rsidR="009F42A7" w:rsidRDefault="00444DAD">
      <w:pPr>
        <w:pStyle w:val="List4"/>
      </w:pPr>
      <w:r>
        <w:t>1.</w:t>
      </w:r>
      <w:r>
        <w:tab/>
        <w:t>A minimum of three different colors shall be used for building exteriors. Colors shall be only natural rock colors and earth tones. Neutral colors include browns, beige, ivory, tau</w:t>
      </w:r>
      <w:r>
        <w:t xml:space="preserve">pe, muted greens, gold, grey, and white. Earth-tone colors should be flat or muted. </w:t>
      </w:r>
    </w:p>
    <w:p w:rsidR="009F42A7" w:rsidRDefault="00444DAD">
      <w:pPr>
        <w:pStyle w:val="List4"/>
      </w:pPr>
      <w:r>
        <w:t>2.</w:t>
      </w:r>
      <w:r>
        <w:tab/>
        <w:t xml:space="preserve">The use of high-intensity colors, neon, or a fluorescent color is prohibited. Neon tubing shall not be an acceptable feature for building trim or accent areas. </w:t>
      </w:r>
    </w:p>
    <w:p w:rsidR="009F42A7" w:rsidRDefault="00444DAD">
      <w:pPr>
        <w:pStyle w:val="List3"/>
      </w:pPr>
      <w:r>
        <w:t>g.</w:t>
      </w:r>
      <w:r>
        <w:tab/>
      </w:r>
      <w:r>
        <w:rPr>
          <w:i/>
        </w:rPr>
        <w:t>Awni</w:t>
      </w:r>
      <w:r>
        <w:rPr>
          <w:i/>
        </w:rPr>
        <w:t>ngs.</w:t>
      </w:r>
      <w:r>
        <w:t xml:space="preserve"> Awnings: </w:t>
      </w:r>
    </w:p>
    <w:p w:rsidR="009F42A7" w:rsidRDefault="00444DAD">
      <w:pPr>
        <w:pStyle w:val="List4"/>
      </w:pPr>
      <w:r>
        <w:t>1.</w:t>
      </w:r>
      <w:r>
        <w:tab/>
        <w:t xml:space="preserve">Shall be required for primary buildings in Tier 2. </w:t>
      </w:r>
    </w:p>
    <w:p w:rsidR="009F42A7" w:rsidRDefault="00444DAD">
      <w:pPr>
        <w:pStyle w:val="List4"/>
      </w:pPr>
      <w:r>
        <w:t>2.</w:t>
      </w:r>
      <w:r>
        <w:tab/>
        <w:t xml:space="preserve">Shall be broken into segments as to match the door and window openings beneath them. </w:t>
      </w:r>
    </w:p>
    <w:p w:rsidR="009F42A7" w:rsidRDefault="00444DAD">
      <w:pPr>
        <w:pStyle w:val="List4"/>
      </w:pPr>
      <w:r>
        <w:t>3.</w:t>
      </w:r>
      <w:r>
        <w:tab/>
        <w:t xml:space="preserve">Shall overhang the entrance and windows along the front and side facade for a minimum of five </w:t>
      </w:r>
      <w:r>
        <w:t xml:space="preserve">feet. </w:t>
      </w:r>
    </w:p>
    <w:p w:rsidR="009F42A7" w:rsidRDefault="00444DAD">
      <w:pPr>
        <w:pStyle w:val="List4"/>
      </w:pPr>
      <w:r>
        <w:t>4.</w:t>
      </w:r>
      <w:r>
        <w:tab/>
        <w:t xml:space="preserve">Shall be made of glass or metal construction materials. </w:t>
      </w:r>
    </w:p>
    <w:p w:rsidR="009F42A7" w:rsidRDefault="00444DAD">
      <w:pPr>
        <w:pStyle w:val="List4"/>
      </w:pPr>
      <w:r>
        <w:t>5.</w:t>
      </w:r>
      <w:r>
        <w:tab/>
        <w:t xml:space="preserve">Shall not include domed and convex-shaped awnings. </w:t>
      </w:r>
    </w:p>
    <w:p w:rsidR="009F42A7" w:rsidRDefault="00444DAD">
      <w:pPr>
        <w:pStyle w:val="List3"/>
      </w:pPr>
      <w:r>
        <w:t>h.</w:t>
      </w:r>
      <w:r>
        <w:tab/>
      </w:r>
      <w:r>
        <w:rPr>
          <w:i/>
        </w:rPr>
        <w:t>Rooftop equipment.</w:t>
      </w:r>
      <w:r>
        <w:t xml:space="preserve"> Rooftop mechanical equipment, including HVAC and utility equipment, shall be screened. Screening shall consist o</w:t>
      </w:r>
      <w:r>
        <w:t xml:space="preserve">f parapet walls or an opaque enclosure around the equipment that is constructed of one of the materials used on the primary facade of the principal structure. </w:t>
      </w:r>
    </w:p>
    <w:p w:rsidR="009F42A7" w:rsidRDefault="00444DAD">
      <w:pPr>
        <w:pStyle w:val="List3"/>
      </w:pPr>
      <w:proofErr w:type="spellStart"/>
      <w:r>
        <w:t>i</w:t>
      </w:r>
      <w:proofErr w:type="spellEnd"/>
      <w:r>
        <w:t>.</w:t>
      </w:r>
      <w:r>
        <w:tab/>
      </w:r>
      <w:r>
        <w:rPr>
          <w:i/>
        </w:rPr>
        <w:t>Fences and gates.</w:t>
      </w:r>
    </w:p>
    <w:p w:rsidR="009F42A7" w:rsidRDefault="00444DAD">
      <w:pPr>
        <w:pStyle w:val="List4"/>
      </w:pPr>
      <w:r>
        <w:t>1.</w:t>
      </w:r>
      <w:r>
        <w:tab/>
        <w:t xml:space="preserve">No opaque walls, fences, gates, or </w:t>
      </w:r>
      <w:proofErr w:type="spellStart"/>
      <w:r>
        <w:t>chainlink</w:t>
      </w:r>
      <w:proofErr w:type="spellEnd"/>
      <w:r>
        <w:t xml:space="preserve"> fences with a height greate</w:t>
      </w:r>
      <w:r>
        <w:t xml:space="preserve">r than four feet shall be located within a front yard. </w:t>
      </w:r>
    </w:p>
    <w:p w:rsidR="009F42A7" w:rsidRDefault="00444DAD">
      <w:pPr>
        <w:pStyle w:val="List4"/>
      </w:pPr>
      <w:r>
        <w:t>2.</w:t>
      </w:r>
      <w:r>
        <w:tab/>
        <w:t xml:space="preserve">Walls, fences, or gates shall be consistent in style and material, complementing the surrounding architectural styles within this overlay district. </w:t>
      </w:r>
    </w:p>
    <w:p w:rsidR="009F42A7" w:rsidRDefault="00444DAD">
      <w:pPr>
        <w:pStyle w:val="List4"/>
      </w:pPr>
      <w:r>
        <w:t>3.</w:t>
      </w:r>
      <w:r>
        <w:tab/>
        <w:t>The structural supports of the fence shall fa</w:t>
      </w:r>
      <w:r>
        <w:t xml:space="preserve">ce interior to the property so as not to be visible from the street or neighboring property. </w:t>
      </w:r>
    </w:p>
    <w:p w:rsidR="009F42A7" w:rsidRDefault="00444DAD">
      <w:pPr>
        <w:pStyle w:val="List3"/>
      </w:pPr>
      <w:r>
        <w:t>j.</w:t>
      </w:r>
      <w:r>
        <w:tab/>
      </w:r>
      <w:r>
        <w:rPr>
          <w:i/>
        </w:rPr>
        <w:t>Signage.</w:t>
      </w:r>
      <w:r>
        <w:t xml:space="preserve"> The following signs shall be permitted for non-residential uses: </w:t>
      </w:r>
    </w:p>
    <w:p w:rsidR="009F42A7" w:rsidRDefault="00444DAD">
      <w:pPr>
        <w:pStyle w:val="List4"/>
      </w:pPr>
      <w:r>
        <w:t>1.</w:t>
      </w:r>
      <w:r>
        <w:tab/>
      </w:r>
      <w:r>
        <w:rPr>
          <w:i/>
        </w:rPr>
        <w:t>Limitation.</w:t>
      </w:r>
      <w:r>
        <w:t xml:space="preserve"> Only monument signs, window signs, and wall signs are permitted. Pole</w:t>
      </w:r>
      <w:r>
        <w:t xml:space="preserve"> signs, pylon signs, roof signs, banners, wall murals, digital signs, neon signs, flat signs, and spectacular signs are prohibited. </w:t>
      </w:r>
    </w:p>
    <w:p w:rsidR="009F42A7" w:rsidRDefault="00444DAD">
      <w:pPr>
        <w:pStyle w:val="List4"/>
      </w:pPr>
      <w:r>
        <w:t>2.</w:t>
      </w:r>
      <w:r>
        <w:tab/>
      </w:r>
      <w:r>
        <w:rPr>
          <w:i/>
        </w:rPr>
        <w:t>Monument signs.</w:t>
      </w:r>
    </w:p>
    <w:p w:rsidR="009F42A7" w:rsidRDefault="00444DAD">
      <w:pPr>
        <w:pStyle w:val="List5"/>
      </w:pPr>
      <w:r>
        <w:t>a.</w:t>
      </w:r>
      <w:r>
        <w:tab/>
        <w:t>One ground-mounted monument sign shall be permitted for each parcel or for every 300 feet of linear f</w:t>
      </w:r>
      <w:r>
        <w:t xml:space="preserve">rontage of one parcel. </w:t>
      </w:r>
    </w:p>
    <w:p w:rsidR="009F42A7" w:rsidRDefault="00444DAD">
      <w:pPr>
        <w:pStyle w:val="List5"/>
      </w:pPr>
      <w:r>
        <w:t>b.</w:t>
      </w:r>
      <w:r>
        <w:tab/>
        <w:t xml:space="preserve">The sign structure shall be constructed of the same materials that are used on the facade of the primary building(s). </w:t>
      </w:r>
    </w:p>
    <w:p w:rsidR="009F42A7" w:rsidRDefault="00444DAD">
      <w:pPr>
        <w:pStyle w:val="List5"/>
      </w:pPr>
      <w:r>
        <w:t>c.</w:t>
      </w:r>
      <w:r>
        <w:tab/>
        <w:t xml:space="preserve">Each monument sign shall incorporate the following features: </w:t>
      </w:r>
      <w:r>
        <w:br/>
        <w:t xml:space="preserve">(See Figure SJ0-4) </w:t>
      </w:r>
    </w:p>
    <w:p w:rsidR="009F42A7" w:rsidRDefault="00444DAD">
      <w:pPr>
        <w:pStyle w:val="Hang6"/>
      </w:pPr>
      <w:r>
        <w:t>• </w:t>
      </w:r>
      <w:proofErr w:type="spellStart"/>
      <w:r>
        <w:t>CorTen</w:t>
      </w:r>
      <w:proofErr w:type="spellEnd"/>
      <w:r>
        <w:t xml:space="preserve"> metal material a</w:t>
      </w:r>
      <w:r>
        <w:t xml:space="preserve">s a part of its sign face. </w:t>
      </w:r>
    </w:p>
    <w:p w:rsidR="009F42A7" w:rsidRDefault="00444DAD">
      <w:pPr>
        <w:pStyle w:val="Hang6"/>
      </w:pPr>
      <w:r>
        <w:t xml:space="preserve">• An extended decorative arch. </w:t>
      </w:r>
    </w:p>
    <w:p w:rsidR="009F42A7" w:rsidRDefault="00444DAD">
      <w:pPr>
        <w:pStyle w:val="Hang6"/>
      </w:pPr>
      <w:r>
        <w:lastRenderedPageBreak/>
        <w:t xml:space="preserve">• A monument base with a minimum of eight inches above grade. </w:t>
      </w:r>
    </w:p>
    <w:p w:rsidR="009F42A7" w:rsidRDefault="00444DAD">
      <w:pPr>
        <w:pStyle w:val="Hang6"/>
      </w:pPr>
      <w:r>
        <w:t xml:space="preserve">• At least one masonry support column with a minimum of 16 inches in width. </w:t>
      </w:r>
    </w:p>
    <w:p w:rsidR="009F42A7" w:rsidRDefault="00444DAD">
      <w:pPr>
        <w:pStyle w:val="List5"/>
      </w:pPr>
      <w:r>
        <w:t>d.</w:t>
      </w:r>
      <w:r>
        <w:tab/>
      </w:r>
      <w:r>
        <w:t xml:space="preserve">The maximum monument sign dimensions for non-residential uses shall be as shown in the following table: </w:t>
      </w:r>
    </w:p>
    <w:p w:rsidR="009F42A7" w:rsidRDefault="00444DAD">
      <w:pPr>
        <w:pStyle w:val="Block1"/>
      </w:pPr>
      <w:r>
        <w:t> </w:t>
      </w:r>
      <w:r>
        <w:t xml:space="preserve"> </w:t>
      </w:r>
    </w:p>
    <w:tbl>
      <w:tblPr>
        <w:tblStyle w:val="Table135bcd057-f371-4c25-911e-dfe8a356800a"/>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114"/>
        <w:gridCol w:w="1556"/>
        <w:gridCol w:w="1558"/>
        <w:gridCol w:w="1556"/>
        <w:gridCol w:w="1556"/>
      </w:tblGrid>
      <w:tr w:rsidR="009F42A7">
        <w:tc>
          <w:tcPr>
            <w:tcW w:w="1667" w:type="pct"/>
            <w:shd w:val="clear" w:color="auto" w:fill="696969"/>
          </w:tcPr>
          <w:p w:rsidR="009F42A7" w:rsidRDefault="00444DAD">
            <w:pPr>
              <w:jc w:val="center"/>
            </w:pPr>
            <w:r>
              <w:rPr>
                <w:b/>
                <w:color w:val="FFFFFF"/>
              </w:rPr>
              <w:t>Building Gross</w:t>
            </w:r>
            <w:r>
              <w:br/>
            </w:r>
            <w:r>
              <w:rPr>
                <w:b/>
                <w:color w:val="FFFFFF"/>
              </w:rPr>
              <w:t>Floor Area</w:t>
            </w:r>
            <w:r>
              <w:t xml:space="preserve"> </w:t>
            </w:r>
          </w:p>
        </w:tc>
        <w:tc>
          <w:tcPr>
            <w:tcW w:w="1667" w:type="pct"/>
            <w:gridSpan w:val="2"/>
            <w:shd w:val="clear" w:color="auto" w:fill="696969"/>
          </w:tcPr>
          <w:p w:rsidR="009F42A7" w:rsidRDefault="00444DAD">
            <w:pPr>
              <w:jc w:val="center"/>
            </w:pPr>
            <w:r>
              <w:rPr>
                <w:b/>
                <w:color w:val="FFFFFF"/>
              </w:rPr>
              <w:t>Maximum Area</w:t>
            </w:r>
            <w:r>
              <w:t xml:space="preserve"> </w:t>
            </w:r>
          </w:p>
        </w:tc>
        <w:tc>
          <w:tcPr>
            <w:tcW w:w="1667" w:type="pct"/>
            <w:gridSpan w:val="2"/>
            <w:shd w:val="clear" w:color="auto" w:fill="696969"/>
          </w:tcPr>
          <w:p w:rsidR="009F42A7" w:rsidRDefault="00444DAD">
            <w:pPr>
              <w:jc w:val="center"/>
            </w:pPr>
            <w:r>
              <w:rPr>
                <w:b/>
                <w:color w:val="FFFFFF"/>
              </w:rPr>
              <w:t>Maximum Height</w:t>
            </w:r>
            <w:r>
              <w:br/>
            </w:r>
            <w:r>
              <w:rPr>
                <w:b/>
                <w:color w:val="FFFFFF"/>
              </w:rPr>
              <w:t>(above street grade)</w:t>
            </w:r>
            <w:r>
              <w:t xml:space="preserve"> </w:t>
            </w:r>
          </w:p>
        </w:tc>
      </w:tr>
      <w:tr w:rsidR="009F42A7">
        <w:tc>
          <w:tcPr>
            <w:tcW w:w="1667" w:type="pct"/>
          </w:tcPr>
          <w:p w:rsidR="009F42A7" w:rsidRDefault="009F42A7">
            <w:pPr>
              <w:jc w:val="center"/>
            </w:pPr>
          </w:p>
        </w:tc>
        <w:tc>
          <w:tcPr>
            <w:tcW w:w="833" w:type="pct"/>
          </w:tcPr>
          <w:p w:rsidR="009F42A7" w:rsidRDefault="00444DAD">
            <w:pPr>
              <w:jc w:val="center"/>
            </w:pPr>
            <w:r>
              <w:t xml:space="preserve">Arterial </w:t>
            </w:r>
            <w:r>
              <w:br/>
              <w:t xml:space="preserve">Streets </w:t>
            </w:r>
          </w:p>
        </w:tc>
        <w:tc>
          <w:tcPr>
            <w:tcW w:w="833" w:type="pct"/>
          </w:tcPr>
          <w:p w:rsidR="009F42A7" w:rsidRDefault="00444DAD">
            <w:pPr>
              <w:jc w:val="center"/>
            </w:pPr>
            <w:r>
              <w:t xml:space="preserve">Local Streets </w:t>
            </w:r>
          </w:p>
        </w:tc>
        <w:tc>
          <w:tcPr>
            <w:tcW w:w="833" w:type="pct"/>
          </w:tcPr>
          <w:p w:rsidR="009F42A7" w:rsidRDefault="00444DAD">
            <w:pPr>
              <w:jc w:val="center"/>
            </w:pPr>
            <w:r>
              <w:t xml:space="preserve">Arterial </w:t>
            </w:r>
            <w:r>
              <w:br/>
              <w:t xml:space="preserve">Streets </w:t>
            </w:r>
          </w:p>
        </w:tc>
        <w:tc>
          <w:tcPr>
            <w:tcW w:w="833" w:type="pct"/>
          </w:tcPr>
          <w:p w:rsidR="009F42A7" w:rsidRDefault="00444DAD">
            <w:pPr>
              <w:jc w:val="center"/>
            </w:pPr>
            <w:r>
              <w:t xml:space="preserve">Local Streets </w:t>
            </w:r>
          </w:p>
        </w:tc>
      </w:tr>
      <w:tr w:rsidR="009F42A7">
        <w:tc>
          <w:tcPr>
            <w:tcW w:w="1667" w:type="pct"/>
          </w:tcPr>
          <w:p w:rsidR="009F42A7" w:rsidRDefault="00444DAD">
            <w:pPr>
              <w:jc w:val="center"/>
            </w:pPr>
            <w:r>
              <w:t xml:space="preserve">0—25,000 sq. ft. </w:t>
            </w:r>
          </w:p>
        </w:tc>
        <w:tc>
          <w:tcPr>
            <w:tcW w:w="833" w:type="pct"/>
          </w:tcPr>
          <w:p w:rsidR="009F42A7" w:rsidRDefault="00444DAD">
            <w:pPr>
              <w:jc w:val="center"/>
            </w:pPr>
            <w:r>
              <w:t xml:space="preserve">48 sq. ft. </w:t>
            </w:r>
          </w:p>
        </w:tc>
        <w:tc>
          <w:tcPr>
            <w:tcW w:w="833" w:type="pct"/>
          </w:tcPr>
          <w:p w:rsidR="009F42A7" w:rsidRDefault="00444DAD">
            <w:pPr>
              <w:jc w:val="center"/>
            </w:pPr>
            <w:r>
              <w:t xml:space="preserve">24 sq. ft. </w:t>
            </w:r>
          </w:p>
        </w:tc>
        <w:tc>
          <w:tcPr>
            <w:tcW w:w="833" w:type="pct"/>
          </w:tcPr>
          <w:p w:rsidR="009F42A7" w:rsidRDefault="00444DAD">
            <w:pPr>
              <w:jc w:val="center"/>
            </w:pPr>
            <w:r>
              <w:t xml:space="preserve">8 ft. </w:t>
            </w:r>
          </w:p>
        </w:tc>
        <w:tc>
          <w:tcPr>
            <w:tcW w:w="833" w:type="pct"/>
          </w:tcPr>
          <w:p w:rsidR="009F42A7" w:rsidRDefault="00444DAD">
            <w:pPr>
              <w:jc w:val="center"/>
            </w:pPr>
            <w:r>
              <w:t xml:space="preserve">6 ft. </w:t>
            </w:r>
          </w:p>
        </w:tc>
      </w:tr>
      <w:tr w:rsidR="009F42A7">
        <w:tc>
          <w:tcPr>
            <w:tcW w:w="1667" w:type="pct"/>
          </w:tcPr>
          <w:p w:rsidR="009F42A7" w:rsidRDefault="00444DAD">
            <w:pPr>
              <w:jc w:val="center"/>
            </w:pPr>
            <w:r>
              <w:t xml:space="preserve">25,001—50,000 </w:t>
            </w:r>
            <w:r>
              <w:br/>
              <w:t xml:space="preserve">sq. ft. </w:t>
            </w:r>
          </w:p>
        </w:tc>
        <w:tc>
          <w:tcPr>
            <w:tcW w:w="833" w:type="pct"/>
          </w:tcPr>
          <w:p w:rsidR="009F42A7" w:rsidRDefault="00444DAD">
            <w:pPr>
              <w:jc w:val="center"/>
            </w:pPr>
            <w:r>
              <w:t xml:space="preserve">64 sq. ft. </w:t>
            </w:r>
          </w:p>
        </w:tc>
        <w:tc>
          <w:tcPr>
            <w:tcW w:w="833" w:type="pct"/>
          </w:tcPr>
          <w:p w:rsidR="009F42A7" w:rsidRDefault="00444DAD">
            <w:pPr>
              <w:jc w:val="center"/>
            </w:pPr>
            <w:r>
              <w:t xml:space="preserve">32 sq. ft. </w:t>
            </w:r>
          </w:p>
        </w:tc>
        <w:tc>
          <w:tcPr>
            <w:tcW w:w="833" w:type="pct"/>
          </w:tcPr>
          <w:p w:rsidR="009F42A7" w:rsidRDefault="00444DAD">
            <w:pPr>
              <w:jc w:val="center"/>
            </w:pPr>
            <w:r>
              <w:t xml:space="preserve">8 ft. </w:t>
            </w:r>
          </w:p>
        </w:tc>
        <w:tc>
          <w:tcPr>
            <w:tcW w:w="833" w:type="pct"/>
          </w:tcPr>
          <w:p w:rsidR="009F42A7" w:rsidRDefault="00444DAD">
            <w:pPr>
              <w:jc w:val="center"/>
            </w:pPr>
            <w:r>
              <w:t xml:space="preserve">6 ft. </w:t>
            </w:r>
          </w:p>
        </w:tc>
      </w:tr>
      <w:tr w:rsidR="009F42A7">
        <w:tc>
          <w:tcPr>
            <w:tcW w:w="1667" w:type="pct"/>
          </w:tcPr>
          <w:p w:rsidR="009F42A7" w:rsidRDefault="00444DAD">
            <w:pPr>
              <w:jc w:val="center"/>
            </w:pPr>
            <w:r>
              <w:t xml:space="preserve">Over 50,000 sq. ft. </w:t>
            </w:r>
          </w:p>
        </w:tc>
        <w:tc>
          <w:tcPr>
            <w:tcW w:w="833" w:type="pct"/>
          </w:tcPr>
          <w:p w:rsidR="009F42A7" w:rsidRDefault="00444DAD">
            <w:pPr>
              <w:jc w:val="center"/>
            </w:pPr>
            <w:r>
              <w:t xml:space="preserve">96 sq. ft. </w:t>
            </w:r>
          </w:p>
        </w:tc>
        <w:tc>
          <w:tcPr>
            <w:tcW w:w="833" w:type="pct"/>
          </w:tcPr>
          <w:p w:rsidR="009F42A7" w:rsidRDefault="00444DAD">
            <w:pPr>
              <w:jc w:val="center"/>
            </w:pPr>
            <w:r>
              <w:t xml:space="preserve">48 sq. ft. </w:t>
            </w:r>
          </w:p>
        </w:tc>
        <w:tc>
          <w:tcPr>
            <w:tcW w:w="833" w:type="pct"/>
          </w:tcPr>
          <w:p w:rsidR="009F42A7" w:rsidRDefault="00444DAD">
            <w:pPr>
              <w:jc w:val="center"/>
            </w:pPr>
            <w:r>
              <w:t xml:space="preserve">12 ft. </w:t>
            </w:r>
          </w:p>
        </w:tc>
        <w:tc>
          <w:tcPr>
            <w:tcW w:w="833" w:type="pct"/>
          </w:tcPr>
          <w:p w:rsidR="009F42A7" w:rsidRDefault="00444DAD">
            <w:pPr>
              <w:jc w:val="center"/>
            </w:pPr>
            <w:r>
              <w:t xml:space="preserve">6 ft. </w:t>
            </w:r>
          </w:p>
        </w:tc>
      </w:tr>
    </w:tbl>
    <w:p w:rsidR="009F42A7" w:rsidRDefault="009F42A7"/>
    <w:p w:rsidR="009F42A7" w:rsidRDefault="009F42A7"/>
    <w:p w:rsidR="009F42A7" w:rsidRDefault="00444DAD">
      <w:pPr>
        <w:pStyle w:val="ImageCaptionAboveLeft"/>
      </w:pPr>
      <w:r>
        <w:rPr>
          <w:b w:val="0"/>
          <w:i/>
        </w:rPr>
        <w:t>Figure SJO-4. Sign</w:t>
      </w:r>
      <w:r>
        <w:br/>
      </w:r>
    </w:p>
    <w:p w:rsidR="009F42A7" w:rsidRDefault="00444DAD">
      <w:pPr>
        <w:pStyle w:val="ImageLeft"/>
      </w:pPr>
      <w:r>
        <w:rPr>
          <w:noProof/>
        </w:rPr>
        <w:drawing>
          <wp:inline distT="0" distB="0" distL="0" distR="0">
            <wp:extent cx="3810000" cy="3543300"/>
            <wp:effectExtent l="0" t="0" r="0" b="0"/>
            <wp:docPr id="4" name="Drawing 3" descr="2-082D.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810000" cy="3543300"/>
                    </a:xfrm>
                    <a:prstGeom prst="rect">
                      <a:avLst/>
                    </a:prstGeom>
                  </pic:spPr>
                </pic:pic>
              </a:graphicData>
            </a:graphic>
          </wp:inline>
        </w:drawing>
      </w:r>
    </w:p>
    <w:p w:rsidR="009F42A7" w:rsidRDefault="00444DAD">
      <w:pPr>
        <w:pStyle w:val="List3"/>
      </w:pPr>
      <w:r>
        <w:t>e.</w:t>
      </w:r>
      <w:r>
        <w:tab/>
      </w:r>
      <w:r>
        <w:rPr>
          <w:i/>
        </w:rPr>
        <w:t>Sign measurement.</w:t>
      </w:r>
    </w:p>
    <w:p w:rsidR="009F42A7" w:rsidRDefault="00444DAD">
      <w:pPr>
        <w:pStyle w:val="List4"/>
      </w:pPr>
      <w:proofErr w:type="spellStart"/>
      <w:r>
        <w:t>i</w:t>
      </w:r>
      <w:proofErr w:type="spellEnd"/>
      <w:r>
        <w:t>.</w:t>
      </w:r>
      <w:r>
        <w:tab/>
      </w:r>
      <w:r>
        <w:t>The size of a sign is measured by its effective area. For monument signs, the effective area includes the entire structure on which the sign is placed or mounted, including only the portion of the sign base that extends directly below the sign face. (See F</w:t>
      </w:r>
      <w:r>
        <w:t xml:space="preserve">igure SJ0-4). </w:t>
      </w:r>
    </w:p>
    <w:p w:rsidR="009F42A7" w:rsidRDefault="00444DAD">
      <w:pPr>
        <w:pStyle w:val="List4"/>
      </w:pPr>
      <w:r>
        <w:t>ii.</w:t>
      </w:r>
      <w:r>
        <w:tab/>
        <w:t xml:space="preserve">No decorative features of the sign shall extend beyond 16 inches from the sign face. </w:t>
      </w:r>
    </w:p>
    <w:p w:rsidR="009F42A7" w:rsidRDefault="00444DAD">
      <w:pPr>
        <w:pStyle w:val="List3"/>
      </w:pPr>
      <w:r>
        <w:lastRenderedPageBreak/>
        <w:t>f.</w:t>
      </w:r>
      <w:r>
        <w:tab/>
      </w:r>
      <w:r>
        <w:rPr>
          <w:i/>
        </w:rPr>
        <w:t>Sign setbacks and placement.</w:t>
      </w:r>
    </w:p>
    <w:p w:rsidR="009F42A7" w:rsidRDefault="00444DAD">
      <w:pPr>
        <w:pStyle w:val="List4"/>
      </w:pPr>
      <w:proofErr w:type="spellStart"/>
      <w:r>
        <w:t>i</w:t>
      </w:r>
      <w:proofErr w:type="spellEnd"/>
      <w:r>
        <w:t>.</w:t>
      </w:r>
      <w:r>
        <w:tab/>
        <w:t xml:space="preserve">No minimum setback from property line is required for a monument sign. </w:t>
      </w:r>
    </w:p>
    <w:p w:rsidR="009F42A7" w:rsidRDefault="00444DAD">
      <w:pPr>
        <w:pStyle w:val="List4"/>
      </w:pPr>
      <w:r>
        <w:t>ii.</w:t>
      </w:r>
      <w:r>
        <w:tab/>
        <w:t>Placement of a monument sign shall in no</w:t>
      </w:r>
      <w:r>
        <w:t xml:space="preserve"> case be allowed to extend into the right-of-way or to obscure vision at a street or driveway intersection. </w:t>
      </w:r>
    </w:p>
    <w:p w:rsidR="009F42A7" w:rsidRDefault="00444DAD">
      <w:pPr>
        <w:pStyle w:val="List2"/>
      </w:pPr>
      <w:r>
        <w:t>3.</w:t>
      </w:r>
      <w:r>
        <w:tab/>
      </w:r>
      <w:r>
        <w:rPr>
          <w:i/>
        </w:rPr>
        <w:t>Wall signs.</w:t>
      </w:r>
    </w:p>
    <w:p w:rsidR="009F42A7" w:rsidRDefault="00444DAD">
      <w:pPr>
        <w:pStyle w:val="List3"/>
      </w:pPr>
      <w:r>
        <w:t>a.</w:t>
      </w:r>
      <w:r>
        <w:tab/>
        <w:t xml:space="preserve">Sizes shall be calculated by one square foot per linear foot of storefront up to maximum of 64 square feet. </w:t>
      </w:r>
    </w:p>
    <w:p w:rsidR="009F42A7" w:rsidRDefault="00444DAD">
      <w:pPr>
        <w:pStyle w:val="List3"/>
      </w:pPr>
      <w:r>
        <w:t>b.</w:t>
      </w:r>
      <w:r>
        <w:tab/>
        <w:t xml:space="preserve">Wall signs shall </w:t>
      </w:r>
      <w:r>
        <w:t xml:space="preserve">be of individual channel letter. Framed or cabinet signs are prohibited. </w:t>
      </w:r>
    </w:p>
    <w:p w:rsidR="009F42A7" w:rsidRDefault="00444DAD">
      <w:pPr>
        <w:pStyle w:val="List3"/>
      </w:pPr>
      <w:r>
        <w:t>c.</w:t>
      </w:r>
      <w:r>
        <w:tab/>
        <w:t xml:space="preserve">One wall sign shall be permitted along the facade of the public entrance. </w:t>
      </w:r>
    </w:p>
    <w:p w:rsidR="009F42A7" w:rsidRDefault="00444DAD">
      <w:pPr>
        <w:pStyle w:val="List3"/>
      </w:pPr>
      <w:r>
        <w:t>d.</w:t>
      </w:r>
      <w:r>
        <w:tab/>
        <w:t>Buildings located on corner lots are permitted to have a second wall sign on a second facade which fa</w:t>
      </w:r>
      <w:r>
        <w:t xml:space="preserve">ces the street front. </w:t>
      </w:r>
    </w:p>
    <w:p w:rsidR="009F42A7" w:rsidRDefault="00444DAD">
      <w:pPr>
        <w:pStyle w:val="List3"/>
      </w:pPr>
      <w:r>
        <w:t>e.</w:t>
      </w:r>
      <w:r>
        <w:tab/>
        <w:t xml:space="preserve">Window signs shall be limited to a maximum of two signs, each with a maximum of </w:t>
      </w:r>
      <w:proofErr w:type="gramStart"/>
      <w:r>
        <w:t>four square</w:t>
      </w:r>
      <w:proofErr w:type="gramEnd"/>
      <w:r>
        <w:t xml:space="preserve"> feet within the frontage. </w:t>
      </w:r>
    </w:p>
    <w:p w:rsidR="009F42A7" w:rsidRDefault="00444DAD">
      <w:pPr>
        <w:pStyle w:val="List3"/>
      </w:pPr>
      <w:r>
        <w:t>f.</w:t>
      </w:r>
      <w:r>
        <w:tab/>
        <w:t xml:space="preserve">Illumination. </w:t>
      </w:r>
    </w:p>
    <w:p w:rsidR="009F42A7" w:rsidRDefault="00444DAD">
      <w:pPr>
        <w:pStyle w:val="List4"/>
      </w:pPr>
      <w:proofErr w:type="spellStart"/>
      <w:r>
        <w:t>i</w:t>
      </w:r>
      <w:proofErr w:type="spellEnd"/>
      <w:r>
        <w:t>.</w:t>
      </w:r>
      <w:r>
        <w:tab/>
        <w:t xml:space="preserve">Internal illumination is prohibited. </w:t>
      </w:r>
    </w:p>
    <w:p w:rsidR="009F42A7" w:rsidRDefault="00444DAD">
      <w:pPr>
        <w:pStyle w:val="List4"/>
      </w:pPr>
      <w:r>
        <w:t>ii.</w:t>
      </w:r>
      <w:r>
        <w:tab/>
        <w:t>Wall signs shall be back lit, halo lit, or exter</w:t>
      </w:r>
      <w:r>
        <w:t xml:space="preserve">nally illuminated. </w:t>
      </w:r>
    </w:p>
    <w:p w:rsidR="009F42A7" w:rsidRDefault="00444DAD">
      <w:pPr>
        <w:pStyle w:val="List3"/>
      </w:pPr>
      <w:r>
        <w:t>k.</w:t>
      </w:r>
      <w:r>
        <w:tab/>
      </w:r>
      <w:r>
        <w:rPr>
          <w:i/>
        </w:rPr>
        <w:t>Lighting.</w:t>
      </w:r>
    </w:p>
    <w:p w:rsidR="009F42A7" w:rsidRDefault="00444DAD">
      <w:pPr>
        <w:pStyle w:val="List4"/>
      </w:pPr>
      <w:r>
        <w:t>1.</w:t>
      </w:r>
      <w:r>
        <w:tab/>
        <w:t xml:space="preserve">Internal to the project area, lighting design shall be of the gooseneck variety as presented in Figure SJ0-5. </w:t>
      </w:r>
    </w:p>
    <w:p w:rsidR="009F42A7" w:rsidRDefault="00444DAD">
      <w:pPr>
        <w:pStyle w:val="List4"/>
      </w:pPr>
      <w:r>
        <w:t>2.</w:t>
      </w:r>
      <w:r>
        <w:tab/>
        <w:t xml:space="preserve">Lighting posts and extensions shall be a black-powder-coated aluminum or metal. </w:t>
      </w:r>
    </w:p>
    <w:p w:rsidR="009F42A7" w:rsidRDefault="00444DAD">
      <w:pPr>
        <w:pStyle w:val="List4"/>
      </w:pPr>
      <w:r>
        <w:t>3.</w:t>
      </w:r>
      <w:r>
        <w:tab/>
        <w:t>Fixtures shall be shie</w:t>
      </w:r>
      <w:r>
        <w:t xml:space="preserve">lded to reduce light pollution by facilitating a downward-directed light. </w:t>
      </w:r>
    </w:p>
    <w:p w:rsidR="009F42A7" w:rsidRDefault="00444DAD">
      <w:pPr>
        <w:pStyle w:val="List4"/>
      </w:pPr>
      <w:r>
        <w:t>4.</w:t>
      </w:r>
      <w:r>
        <w:tab/>
        <w:t xml:space="preserve">All lighting fixtures internal to the development shall have poles with a maximum height of 16 feet. </w:t>
      </w:r>
    </w:p>
    <w:p w:rsidR="009F42A7" w:rsidRDefault="00444DAD">
      <w:pPr>
        <w:pStyle w:val="List4"/>
      </w:pPr>
      <w:r>
        <w:t>5.</w:t>
      </w:r>
      <w:r>
        <w:tab/>
        <w:t>Lighting shall be of a consistent style throughout the project area/devel</w:t>
      </w:r>
      <w:r>
        <w:t xml:space="preserve">opment site. </w:t>
      </w:r>
    </w:p>
    <w:p w:rsidR="009F42A7" w:rsidRDefault="00444DAD">
      <w:pPr>
        <w:pStyle w:val="List4"/>
      </w:pPr>
      <w:r>
        <w:t>6.</w:t>
      </w:r>
      <w:r>
        <w:tab/>
        <w:t xml:space="preserve">All light fixtures shall use an LED lighting source. </w:t>
      </w:r>
    </w:p>
    <w:p w:rsidR="009F42A7" w:rsidRDefault="00444DAD">
      <w:pPr>
        <w:pStyle w:val="List4"/>
      </w:pPr>
      <w:r>
        <w:t>7.</w:t>
      </w:r>
      <w:r>
        <w:tab/>
        <w:t xml:space="preserve">Lighting fixtures shall be placed to add illumination to areas such as, but not limited to, the usable open space, pedestrian facilities, and parking area. </w:t>
      </w:r>
    </w:p>
    <w:p w:rsidR="009F42A7" w:rsidRDefault="00444DAD">
      <w:pPr>
        <w:pStyle w:val="List4"/>
      </w:pPr>
      <w:r>
        <w:t>8.</w:t>
      </w:r>
      <w:r>
        <w:tab/>
        <w:t>Lighting fixtures shal</w:t>
      </w:r>
      <w:r>
        <w:t xml:space="preserve">l be of similar dimension and proportion as presented in the Figure SJ0-5. </w:t>
      </w:r>
    </w:p>
    <w:p w:rsidR="009F42A7" w:rsidRDefault="009F42A7">
      <w:pPr>
        <w:pStyle w:val="Block1"/>
      </w:pPr>
    </w:p>
    <w:p w:rsidR="009F42A7" w:rsidRDefault="009F42A7"/>
    <w:p w:rsidR="009F42A7" w:rsidRDefault="00444DAD">
      <w:pPr>
        <w:pStyle w:val="ImageCaptionAboveLeft"/>
      </w:pPr>
      <w:r>
        <w:rPr>
          <w:b w:val="0"/>
          <w:i/>
        </w:rPr>
        <w:lastRenderedPageBreak/>
        <w:t>Figure SJO-5. Lighting</w:t>
      </w:r>
      <w:r>
        <w:br/>
      </w:r>
    </w:p>
    <w:p w:rsidR="009F42A7" w:rsidRDefault="00444DAD">
      <w:pPr>
        <w:pStyle w:val="ImageLeft"/>
      </w:pPr>
      <w:r>
        <w:rPr>
          <w:noProof/>
        </w:rPr>
        <w:drawing>
          <wp:inline distT="0" distB="0" distL="0" distR="0">
            <wp:extent cx="5334000" cy="2667000"/>
            <wp:effectExtent l="0" t="0" r="0" b="0"/>
            <wp:docPr id="5" name="Drawing 4" descr="2-082E.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334000" cy="2667000"/>
                    </a:xfrm>
                    <a:prstGeom prst="rect">
                      <a:avLst/>
                    </a:prstGeom>
                  </pic:spPr>
                </pic:pic>
              </a:graphicData>
            </a:graphic>
          </wp:inline>
        </w:drawing>
      </w:r>
    </w:p>
    <w:p w:rsidR="009F42A7" w:rsidRDefault="009F42A7">
      <w:pPr>
        <w:pStyle w:val="Block1"/>
      </w:pPr>
    </w:p>
    <w:p w:rsidR="009F42A7" w:rsidRDefault="00444DAD">
      <w:pPr>
        <w:pStyle w:val="List1"/>
      </w:pPr>
      <w:r>
        <w:t>(h)</w:t>
      </w:r>
      <w:r>
        <w:tab/>
      </w:r>
      <w:r>
        <w:rPr>
          <w:i/>
        </w:rPr>
        <w:t>Circulation and connectivity.</w:t>
      </w:r>
    </w:p>
    <w:p w:rsidR="009F42A7" w:rsidRDefault="00444DAD">
      <w:pPr>
        <w:pStyle w:val="List2"/>
      </w:pPr>
      <w:r>
        <w:t>(1)</w:t>
      </w:r>
      <w:r>
        <w:tab/>
      </w:r>
      <w:r>
        <w:rPr>
          <w:i/>
        </w:rPr>
        <w:t>Streets, sidewalks, and trails.</w:t>
      </w:r>
      <w:r>
        <w:t xml:space="preserve"> The San Jacinto overlay district shall be organized into blocks created by a grid of public streets and/or private streets. A variety of street types and block sizes may be incorporated to create the grid, including diagonal, off-set, and angled streets a</w:t>
      </w:r>
      <w:r>
        <w:t>s approved by the director or the director of engineering. The street network goals aim to prioritize the mobility of pedestrians and bicyclists by improving safe mobility choices and community character. Values of the section should be placed in compatibi</w:t>
      </w:r>
      <w:r>
        <w:t xml:space="preserve">lity, livability, sense of place and urban design that enhances pedestrian facilities and streets. Where possible, cul-de-sacs and curvilinear streets shall be avoided. </w:t>
      </w:r>
    </w:p>
    <w:p w:rsidR="009F42A7" w:rsidRDefault="00444DAD">
      <w:pPr>
        <w:pStyle w:val="List3"/>
      </w:pPr>
      <w:r>
        <w:t>a.</w:t>
      </w:r>
      <w:r>
        <w:tab/>
      </w:r>
      <w:r>
        <w:rPr>
          <w:i/>
        </w:rPr>
        <w:t>Access management.</w:t>
      </w:r>
    </w:p>
    <w:p w:rsidR="009F42A7" w:rsidRDefault="00444DAD">
      <w:pPr>
        <w:pStyle w:val="List4"/>
      </w:pPr>
      <w:r>
        <w:t>1.</w:t>
      </w:r>
      <w:r>
        <w:tab/>
        <w:t>Access management along roadways designated as arterial shall</w:t>
      </w:r>
      <w:r>
        <w:t xml:space="preserve"> have a minimum curb-cut separation of 200 feet from the centerline of an existing curb cut. </w:t>
      </w:r>
    </w:p>
    <w:p w:rsidR="009F42A7" w:rsidRDefault="00444DAD">
      <w:pPr>
        <w:pStyle w:val="List4"/>
      </w:pPr>
      <w:r>
        <w:t>2.</w:t>
      </w:r>
      <w:r>
        <w:tab/>
        <w:t>Access to properties without a curb cut along an arterial shall be permitted via connection to another collector street, local street, or shared access easemen</w:t>
      </w:r>
      <w:r>
        <w:t xml:space="preserve">t through an adjoining parking area. </w:t>
      </w:r>
    </w:p>
    <w:p w:rsidR="009F42A7" w:rsidRDefault="00444DAD">
      <w:pPr>
        <w:pStyle w:val="List4"/>
      </w:pPr>
      <w:r>
        <w:t>3.</w:t>
      </w:r>
      <w:r>
        <w:tab/>
        <w:t xml:space="preserve">The project areas shall incorporate the following: </w:t>
      </w:r>
    </w:p>
    <w:p w:rsidR="009F42A7" w:rsidRDefault="00444DAD">
      <w:pPr>
        <w:pStyle w:val="List5"/>
      </w:pPr>
      <w:proofErr w:type="spellStart"/>
      <w:r>
        <w:t>i</w:t>
      </w:r>
      <w:proofErr w:type="spellEnd"/>
      <w:r>
        <w:t>.</w:t>
      </w:r>
      <w:r>
        <w:tab/>
        <w:t xml:space="preserve">A maximum design speed of a drive aisle shall be 15 mph. </w:t>
      </w:r>
    </w:p>
    <w:p w:rsidR="009F42A7" w:rsidRDefault="00444DAD">
      <w:pPr>
        <w:pStyle w:val="List5"/>
      </w:pPr>
      <w:r>
        <w:t>ii.</w:t>
      </w:r>
      <w:r>
        <w:tab/>
        <w:t>If necessary to ensure access to the streets by the general public, the director and/or director o</w:t>
      </w:r>
      <w:r>
        <w:t xml:space="preserve">f engineering may require shared access driveways within the site to adjacent properties. </w:t>
      </w:r>
    </w:p>
    <w:p w:rsidR="009F42A7" w:rsidRDefault="00444DAD">
      <w:pPr>
        <w:pStyle w:val="List5"/>
      </w:pPr>
      <w:r>
        <w:t>iii.</w:t>
      </w:r>
      <w:r>
        <w:tab/>
        <w:t>Installation of driveway aprons, stub-outs and other design features to indicate that abutting properties can be connected to provide shared/cross access is req</w:t>
      </w:r>
      <w:r>
        <w:t xml:space="preserve">uired. </w:t>
      </w:r>
    </w:p>
    <w:p w:rsidR="009F42A7" w:rsidRDefault="00444DAD">
      <w:pPr>
        <w:pStyle w:val="List4"/>
      </w:pPr>
      <w:r>
        <w:t>4.</w:t>
      </w:r>
      <w:r>
        <w:tab/>
        <w:t xml:space="preserve">All curb cuts that are aligned with pre-designed median cuts shall be constructed as local streets. </w:t>
      </w:r>
    </w:p>
    <w:p w:rsidR="009F42A7" w:rsidRDefault="00444DAD">
      <w:pPr>
        <w:pStyle w:val="List4"/>
      </w:pPr>
      <w:r>
        <w:lastRenderedPageBreak/>
        <w:t>5.</w:t>
      </w:r>
      <w:r>
        <w:tab/>
        <w:t>The maximum block length for local and collector streets shall be 700 feet or as specifically approved as a part of a preliminary plat by the</w:t>
      </w:r>
      <w:r>
        <w:t xml:space="preserve"> planning and zoning commission. </w:t>
      </w:r>
    </w:p>
    <w:p w:rsidR="009F42A7" w:rsidRDefault="00444DAD">
      <w:pPr>
        <w:pStyle w:val="List3"/>
      </w:pPr>
      <w:r>
        <w:t>b.</w:t>
      </w:r>
      <w:r>
        <w:tab/>
      </w:r>
      <w:r>
        <w:rPr>
          <w:i/>
        </w:rPr>
        <w:t>Bicycle and pedestrian circulation.</w:t>
      </w:r>
    </w:p>
    <w:p w:rsidR="009F42A7" w:rsidRDefault="00444DAD">
      <w:pPr>
        <w:pStyle w:val="List4"/>
      </w:pPr>
      <w:r>
        <w:t>1.</w:t>
      </w:r>
      <w:r>
        <w:tab/>
        <w:t xml:space="preserve">Direct pedestrian access from any street that is adjacent to the property line to a building entrance is required. </w:t>
      </w:r>
    </w:p>
    <w:p w:rsidR="009F42A7" w:rsidRDefault="00444DAD">
      <w:pPr>
        <w:pStyle w:val="List4"/>
      </w:pPr>
      <w:r>
        <w:t>2.</w:t>
      </w:r>
      <w:r>
        <w:tab/>
        <w:t>Marked pedestrian access from a parking area to a building en</w:t>
      </w:r>
      <w:r>
        <w:t xml:space="preserve">trance is required. </w:t>
      </w:r>
    </w:p>
    <w:p w:rsidR="009F42A7" w:rsidRDefault="00444DAD">
      <w:pPr>
        <w:pStyle w:val="List4"/>
      </w:pPr>
      <w:r>
        <w:t>3.</w:t>
      </w:r>
      <w:r>
        <w:tab/>
        <w:t xml:space="preserve">Pedestrians and bicycle facilities, such as sidewalks and trails, shall be separated from facilities designed for the movement of vehicles, such as streets and access drives. </w:t>
      </w:r>
    </w:p>
    <w:p w:rsidR="009F42A7" w:rsidRDefault="00444DAD">
      <w:pPr>
        <w:pStyle w:val="List4"/>
      </w:pPr>
      <w:r>
        <w:t>4.</w:t>
      </w:r>
      <w:r>
        <w:tab/>
        <w:t xml:space="preserve">Where complete separation of movement of pedestrians </w:t>
      </w:r>
      <w:r>
        <w:t>from movement of vehicles, such as a pedestrian crossing, is not possible, the site plan must use special paving (stamped concrete, stone pavers, etc.), grade separations, signs, bollards, median refuge areas, traffic calming features, landscaping, lightin</w:t>
      </w:r>
      <w:r>
        <w:t xml:space="preserve">g, or other means to clearly delineate pedestrian areas for both day and night use. Pavement markings and striping is only permitted if required by the director of engineering. </w:t>
      </w:r>
    </w:p>
    <w:p w:rsidR="009F42A7" w:rsidRDefault="00444DAD">
      <w:pPr>
        <w:pStyle w:val="List4"/>
      </w:pPr>
      <w:r>
        <w:t>5.</w:t>
      </w:r>
      <w:r>
        <w:tab/>
        <w:t>Where pedestrians and bicyclists share walkways, the trail shall have a min</w:t>
      </w:r>
      <w:r>
        <w:t xml:space="preserve">imum width of eight feet. </w:t>
      </w:r>
    </w:p>
    <w:p w:rsidR="009F42A7" w:rsidRDefault="00444DAD">
      <w:pPr>
        <w:pStyle w:val="List4"/>
      </w:pPr>
      <w:r>
        <w:t>6.</w:t>
      </w:r>
      <w:r>
        <w:tab/>
        <w:t xml:space="preserve">All development with frontage along John Martin Road shall install a paved trail with a minimum of eight feet along the arterial street. </w:t>
      </w:r>
    </w:p>
    <w:p w:rsidR="009F42A7" w:rsidRDefault="00444DAD">
      <w:pPr>
        <w:pStyle w:val="List2"/>
      </w:pPr>
      <w:r>
        <w:t>(2)</w:t>
      </w:r>
      <w:r>
        <w:tab/>
      </w:r>
      <w:r>
        <w:rPr>
          <w:i/>
        </w:rPr>
        <w:t>Circulation plan.</w:t>
      </w:r>
      <w:r>
        <w:t xml:space="preserve"> A circulation plan shall be submitted with a plot plan, preliminar</w:t>
      </w:r>
      <w:r>
        <w:t xml:space="preserve">y plat application, or site plan. A circulation plan must demonstrate: </w:t>
      </w:r>
    </w:p>
    <w:p w:rsidR="009F42A7" w:rsidRDefault="00444DAD">
      <w:pPr>
        <w:pStyle w:val="List3"/>
      </w:pPr>
      <w:r>
        <w:t>a.</w:t>
      </w:r>
      <w:r>
        <w:tab/>
        <w:t xml:space="preserve">How the onsite circulation system meets the narrative and standards of this section; </w:t>
      </w:r>
    </w:p>
    <w:p w:rsidR="009F42A7" w:rsidRDefault="00444DAD">
      <w:pPr>
        <w:pStyle w:val="List3"/>
      </w:pPr>
      <w:r>
        <w:t>b.</w:t>
      </w:r>
      <w:r>
        <w:tab/>
        <w:t xml:space="preserve">How the onsite circulation system integrates with existing and planned streets, bicycle and </w:t>
      </w:r>
      <w:r>
        <w:t xml:space="preserve">pedestrian facilities, and trails in the surrounding area; </w:t>
      </w:r>
    </w:p>
    <w:p w:rsidR="009F42A7" w:rsidRDefault="00444DAD">
      <w:pPr>
        <w:pStyle w:val="List3"/>
      </w:pPr>
      <w:r>
        <w:t>c.</w:t>
      </w:r>
      <w:r>
        <w:tab/>
        <w:t>How the proposed street alignments conform with or deviate from the San Jacinto Boulevard area general road network plan with an explanation how deviations from the plan in terms of street plac</w:t>
      </w:r>
      <w:r>
        <w:t xml:space="preserve">ement, alignment, and design, are consistent with the intent statements in this overlay district; </w:t>
      </w:r>
    </w:p>
    <w:p w:rsidR="009F42A7" w:rsidRDefault="00444DAD">
      <w:pPr>
        <w:pStyle w:val="List3"/>
      </w:pPr>
      <w:r>
        <w:t>d.</w:t>
      </w:r>
      <w:r>
        <w:tab/>
      </w:r>
      <w:r>
        <w:t xml:space="preserve">That the street and pathway system will contribute to safe and convenient pedestrian connections between development occurring onsite and adjacent to the development. </w:t>
      </w:r>
    </w:p>
    <w:p w:rsidR="009F42A7" w:rsidRDefault="00444DAD">
      <w:pPr>
        <w:pStyle w:val="List2"/>
      </w:pPr>
      <w:r>
        <w:t>(3)</w:t>
      </w:r>
      <w:r>
        <w:tab/>
      </w:r>
      <w:r>
        <w:rPr>
          <w:i/>
        </w:rPr>
        <w:t>Plan approval.</w:t>
      </w:r>
    </w:p>
    <w:p w:rsidR="009F42A7" w:rsidRDefault="00444DAD">
      <w:pPr>
        <w:pStyle w:val="List3"/>
      </w:pPr>
      <w:r>
        <w:t>a.</w:t>
      </w:r>
      <w:r>
        <w:tab/>
        <w:t>A circulation plan must be reviewed and approved by the director u</w:t>
      </w:r>
      <w:r>
        <w:t xml:space="preserve">nder the requirements of this section. </w:t>
      </w:r>
    </w:p>
    <w:p w:rsidR="009F42A7" w:rsidRDefault="00444DAD">
      <w:pPr>
        <w:pStyle w:val="List3"/>
      </w:pPr>
      <w:r>
        <w:t>b.</w:t>
      </w:r>
      <w:r>
        <w:tab/>
        <w:t xml:space="preserve">The director may waive the requirement for a circulation plan if the director finds that a plan is not </w:t>
      </w:r>
      <w:proofErr w:type="gramStart"/>
      <w:r>
        <w:t>necessary</w:t>
      </w:r>
      <w:proofErr w:type="gramEnd"/>
      <w:r>
        <w:t xml:space="preserve"> due to the nature of the proposed development on the site, the existence of surrounding incompatible</w:t>
      </w:r>
      <w:r>
        <w:t xml:space="preserve"> development, or other factors unique to the property which make strict compliance unnecessary. </w:t>
      </w:r>
    </w:p>
    <w:p w:rsidR="009F42A7" w:rsidRDefault="00444DAD">
      <w:pPr>
        <w:pStyle w:val="List3"/>
      </w:pPr>
      <w:r>
        <w:t>c.</w:t>
      </w:r>
      <w:r>
        <w:tab/>
        <w:t>Revisions to the circulation plan may be approved by the director after considering the circulation characteristics of a proposed development plan, the need</w:t>
      </w:r>
      <w:r>
        <w:t xml:space="preserve"> for access to adjoining properties, and the compatibility of surrounding development. </w:t>
      </w:r>
    </w:p>
    <w:p w:rsidR="009F42A7" w:rsidRDefault="00444DAD">
      <w:pPr>
        <w:pStyle w:val="List3"/>
      </w:pPr>
      <w:r>
        <w:t>d.</w:t>
      </w:r>
      <w:r>
        <w:tab/>
        <w:t>A plot plan, preliminary plat, subdivision, or site plan may not be approved if the circulation plan is not approved by the director. If there is disagreement on the</w:t>
      </w:r>
      <w:r>
        <w:t xml:space="preserve"> issue, the applicant, by request, </w:t>
      </w:r>
      <w:r>
        <w:lastRenderedPageBreak/>
        <w:t xml:space="preserve">or the staff may take this pre-preliminary information to the planning and zoning commission for its determination. </w:t>
      </w:r>
    </w:p>
    <w:p w:rsidR="009F42A7" w:rsidRDefault="009F42A7"/>
    <w:p w:rsidR="009F42A7" w:rsidRDefault="00444DAD">
      <w:pPr>
        <w:pStyle w:val="ImageCaptionAboveLeft"/>
      </w:pPr>
      <w:r>
        <w:rPr>
          <w:b w:val="0"/>
          <w:i/>
        </w:rPr>
        <w:t>Figure SJO-6. Road Network Plan</w:t>
      </w:r>
      <w:r>
        <w:br/>
      </w:r>
    </w:p>
    <w:p w:rsidR="009F42A7" w:rsidRDefault="00444DAD">
      <w:pPr>
        <w:pStyle w:val="ImageLeft"/>
      </w:pPr>
      <w:r>
        <w:rPr>
          <w:noProof/>
        </w:rPr>
        <w:drawing>
          <wp:inline distT="0" distB="0" distL="0" distR="0">
            <wp:extent cx="2743200" cy="4292600"/>
            <wp:effectExtent l="0" t="0" r="0" b="0"/>
            <wp:docPr id="6" name="Drawing 5" descr="2-082F.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2743200" cy="4292600"/>
                    </a:xfrm>
                    <a:prstGeom prst="rect">
                      <a:avLst/>
                    </a:prstGeom>
                  </pic:spPr>
                </pic:pic>
              </a:graphicData>
            </a:graphic>
          </wp:inline>
        </w:drawing>
      </w:r>
    </w:p>
    <w:p w:rsidR="009F42A7" w:rsidRDefault="00444DAD">
      <w:pPr>
        <w:pStyle w:val="List1"/>
      </w:pPr>
      <w:r>
        <w:t>(</w:t>
      </w:r>
      <w:proofErr w:type="spellStart"/>
      <w:r>
        <w:t>i</w:t>
      </w:r>
      <w:proofErr w:type="spellEnd"/>
      <w:r>
        <w:t>)</w:t>
      </w:r>
      <w:r>
        <w:tab/>
      </w:r>
      <w:r>
        <w:rPr>
          <w:i/>
        </w:rPr>
        <w:t>Parking.</w:t>
      </w:r>
      <w:r>
        <w:t xml:space="preserve"> Parking lot design shall be aesthetically pleasing and </w:t>
      </w:r>
      <w:r>
        <w:t>assure pedestrian safety. Additionally, this section encourages a reduction in surface parking counts, smaller parking areas over vast parking lots, promotion of shared parking through shared access and the creation of on-street parking. This section reass</w:t>
      </w:r>
      <w:r>
        <w:t xml:space="preserve">ures alternative modes of travel by accommodating bicycle parking for all uses. </w:t>
      </w:r>
    </w:p>
    <w:p w:rsidR="009F42A7" w:rsidRDefault="00444DAD">
      <w:pPr>
        <w:pStyle w:val="List2"/>
      </w:pPr>
      <w:r>
        <w:t>(1)</w:t>
      </w:r>
      <w:r>
        <w:tab/>
      </w:r>
      <w:r>
        <w:rPr>
          <w:i/>
        </w:rPr>
        <w:t>Off-street parking.</w:t>
      </w:r>
    </w:p>
    <w:p w:rsidR="009F42A7" w:rsidRDefault="00444DAD">
      <w:pPr>
        <w:pStyle w:val="List3"/>
      </w:pPr>
      <w:r>
        <w:t>a.</w:t>
      </w:r>
      <w:r>
        <w:tab/>
        <w:t xml:space="preserve">Off-street parking spaces for non-residential developments shall not exceed the number required by chapter 112 of the Code of Ordinances and not be </w:t>
      </w:r>
      <w:r>
        <w:t xml:space="preserve">less than 70 percent of the maximum number allowed. </w:t>
      </w:r>
    </w:p>
    <w:p w:rsidR="009F42A7" w:rsidRDefault="00444DAD">
      <w:pPr>
        <w:pStyle w:val="List3"/>
      </w:pPr>
      <w:r>
        <w:t>b.</w:t>
      </w:r>
      <w:r>
        <w:tab/>
        <w:t xml:space="preserve">Off-street parking spaces for dwelling units associated with a mixed-use building shall comply with chapter 112 of the Code of Ordinances. </w:t>
      </w:r>
    </w:p>
    <w:p w:rsidR="009F42A7" w:rsidRDefault="00444DAD">
      <w:pPr>
        <w:pStyle w:val="List3"/>
      </w:pPr>
      <w:r>
        <w:t>c.</w:t>
      </w:r>
      <w:r>
        <w:tab/>
        <w:t>Parking for any residence associated with a mixed-use bui</w:t>
      </w:r>
      <w:r>
        <w:t xml:space="preserve">lding shall be secured and separated from public parking. </w:t>
      </w:r>
    </w:p>
    <w:p w:rsidR="009F42A7" w:rsidRDefault="00444DAD">
      <w:pPr>
        <w:pStyle w:val="List3"/>
      </w:pPr>
      <w:r>
        <w:t>d.</w:t>
      </w:r>
      <w:r>
        <w:tab/>
        <w:t xml:space="preserve">In Tier 1, off-street parking areas shall only be located in the side and rear yards. </w:t>
      </w:r>
    </w:p>
    <w:p w:rsidR="009F42A7" w:rsidRDefault="00444DAD">
      <w:pPr>
        <w:pStyle w:val="List3"/>
      </w:pPr>
      <w:r>
        <w:lastRenderedPageBreak/>
        <w:t>e.</w:t>
      </w:r>
      <w:r>
        <w:tab/>
        <w:t xml:space="preserve">Tier 2 and Tier 3 off-street parking areas are permitted in the front yard. </w:t>
      </w:r>
    </w:p>
    <w:p w:rsidR="009F42A7" w:rsidRDefault="00444DAD">
      <w:pPr>
        <w:pStyle w:val="List3"/>
      </w:pPr>
      <w:r>
        <w:t>f.</w:t>
      </w:r>
      <w:r>
        <w:tab/>
        <w:t>In Tier 1 where off-stre</w:t>
      </w:r>
      <w:r>
        <w:t xml:space="preserve">et parking occurs in the side yard and in Tier 2 and 3 where off-street parking occurs in the front yard, the parking shall be limited to the maximum of two rows of parking being divided by one drive aisle. </w:t>
      </w:r>
    </w:p>
    <w:p w:rsidR="009F42A7" w:rsidRDefault="00444DAD">
      <w:pPr>
        <w:pStyle w:val="List3"/>
      </w:pPr>
      <w:r>
        <w:t>g.</w:t>
      </w:r>
      <w:r>
        <w:tab/>
        <w:t xml:space="preserve">No singular surface parking area may contain </w:t>
      </w:r>
      <w:r>
        <w:t xml:space="preserve">more than 120 spaces. </w:t>
      </w:r>
    </w:p>
    <w:p w:rsidR="009F42A7" w:rsidRDefault="00444DAD">
      <w:pPr>
        <w:pStyle w:val="List3"/>
      </w:pPr>
      <w:r>
        <w:t>h.</w:t>
      </w:r>
      <w:r>
        <w:tab/>
        <w:t xml:space="preserve">A landscape island shall be required after ten parking spaces and at the end of every parking aisle. (See Figure SJ0-7). </w:t>
      </w:r>
    </w:p>
    <w:p w:rsidR="009F42A7" w:rsidRDefault="00444DAD">
      <w:pPr>
        <w:pStyle w:val="List3"/>
      </w:pPr>
      <w:proofErr w:type="spellStart"/>
      <w:r>
        <w:t>i</w:t>
      </w:r>
      <w:proofErr w:type="spellEnd"/>
      <w:r>
        <w:t>.</w:t>
      </w:r>
      <w:r>
        <w:tab/>
      </w:r>
      <w:r>
        <w:t xml:space="preserve">Surface parking areas with more than two parking bays shall require a continuous landscape island between every other parking bay. (See Figure SJ0-7). </w:t>
      </w:r>
    </w:p>
    <w:p w:rsidR="009F42A7" w:rsidRDefault="00444DAD">
      <w:pPr>
        <w:pStyle w:val="List3"/>
      </w:pPr>
      <w:r>
        <w:t>j.</w:t>
      </w:r>
      <w:r>
        <w:tab/>
        <w:t>A continuous landscape island may be utilized for safe pedestrian connectivity. It shall contain a fi</w:t>
      </w:r>
      <w:r>
        <w:t xml:space="preserve">ve-foot sidewalk to provide direct pedestrian access to building entrances. (See Figure SJO-7). </w:t>
      </w:r>
    </w:p>
    <w:p w:rsidR="009F42A7" w:rsidRDefault="009F42A7"/>
    <w:p w:rsidR="009F42A7" w:rsidRDefault="00444DAD">
      <w:pPr>
        <w:pStyle w:val="ImageCaptionAboveLeft"/>
      </w:pPr>
      <w:r>
        <w:rPr>
          <w:b w:val="0"/>
          <w:i/>
        </w:rPr>
        <w:t>Figure SJO-7. Parking</w:t>
      </w:r>
      <w:r>
        <w:br/>
      </w:r>
    </w:p>
    <w:p w:rsidR="009F42A7" w:rsidRDefault="00444DAD">
      <w:pPr>
        <w:pStyle w:val="ImageLeft"/>
      </w:pPr>
      <w:r>
        <w:rPr>
          <w:noProof/>
        </w:rPr>
        <w:drawing>
          <wp:inline distT="0" distB="0" distL="0" distR="0">
            <wp:extent cx="2895600" cy="3149600"/>
            <wp:effectExtent l="0" t="0" r="0" b="0"/>
            <wp:docPr id="7" name="Drawing 6" descr="2-082G.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895600" cy="3149600"/>
                    </a:xfrm>
                    <a:prstGeom prst="rect">
                      <a:avLst/>
                    </a:prstGeom>
                  </pic:spPr>
                </pic:pic>
              </a:graphicData>
            </a:graphic>
          </wp:inline>
        </w:drawing>
      </w:r>
    </w:p>
    <w:p w:rsidR="009F42A7" w:rsidRDefault="00444DAD">
      <w:pPr>
        <w:pStyle w:val="List3"/>
      </w:pPr>
      <w:r>
        <w:t>k.</w:t>
      </w:r>
      <w:r>
        <w:tab/>
        <w:t>Off-street parking provided as part of a building or parking structure adjacent to a public street shall be designed and construct</w:t>
      </w:r>
      <w:r>
        <w:t xml:space="preserve">ed to accommodate non-residential uses such as retail and commercial services on the ground floor of the building or parking structure. </w:t>
      </w:r>
    </w:p>
    <w:p w:rsidR="009F42A7" w:rsidRDefault="00444DAD">
      <w:pPr>
        <w:pStyle w:val="List2"/>
      </w:pPr>
      <w:r>
        <w:t>(2)</w:t>
      </w:r>
      <w:r>
        <w:tab/>
      </w:r>
      <w:r>
        <w:rPr>
          <w:i/>
        </w:rPr>
        <w:t>On-street parking.</w:t>
      </w:r>
    </w:p>
    <w:p w:rsidR="009F42A7" w:rsidRDefault="00444DAD">
      <w:pPr>
        <w:pStyle w:val="List3"/>
      </w:pPr>
      <w:r>
        <w:t>a.</w:t>
      </w:r>
      <w:r>
        <w:tab/>
        <w:t>On-street parallel parking is encouraged along all local streets where feasible. On-street pa</w:t>
      </w:r>
      <w:r>
        <w:t xml:space="preserve">rking is subject to the approval of the director of engineering. </w:t>
      </w:r>
    </w:p>
    <w:p w:rsidR="009F42A7" w:rsidRDefault="00444DAD">
      <w:pPr>
        <w:pStyle w:val="List3"/>
      </w:pPr>
      <w:r>
        <w:t>b.</w:t>
      </w:r>
      <w:r>
        <w:tab/>
        <w:t xml:space="preserve">A reduction of minimum off-street parking may occur by two spaces for each on-street parking space installed along the extents of the subject property for non-residential uses. </w:t>
      </w:r>
    </w:p>
    <w:p w:rsidR="009F42A7" w:rsidRDefault="00444DAD">
      <w:pPr>
        <w:pStyle w:val="List3"/>
      </w:pPr>
      <w:r>
        <w:t>c.</w:t>
      </w:r>
      <w:r>
        <w:tab/>
      </w:r>
      <w:r>
        <w:t xml:space="preserve">The director of engineering may determine that on-street parking is not feasible due to limited right-of-way width or lack of appropriate and adequate easement, transit activity conflict and </w:t>
      </w:r>
      <w:r>
        <w:lastRenderedPageBreak/>
        <w:t>interference, inadequate sight distance caused by vertical or hor</w:t>
      </w:r>
      <w:r>
        <w:t xml:space="preserve">izontal curvature of a street, high roadway speeds, or other safety concerns. </w:t>
      </w:r>
    </w:p>
    <w:p w:rsidR="009F42A7" w:rsidRDefault="00444DAD">
      <w:pPr>
        <w:pStyle w:val="List2"/>
      </w:pPr>
      <w:r>
        <w:t>(3)</w:t>
      </w:r>
      <w:r>
        <w:tab/>
      </w:r>
      <w:r>
        <w:rPr>
          <w:i/>
        </w:rPr>
        <w:t>Bicycle parking.</w:t>
      </w:r>
    </w:p>
    <w:p w:rsidR="009F42A7" w:rsidRDefault="00444DAD">
      <w:pPr>
        <w:pStyle w:val="List3"/>
      </w:pPr>
      <w:r>
        <w:t>a.</w:t>
      </w:r>
      <w:r>
        <w:tab/>
        <w:t xml:space="preserve">Bicycle parking shall be required for retail and personal service uses at a rate of one bicycle space per ten parking spaces. </w:t>
      </w:r>
    </w:p>
    <w:p w:rsidR="009F42A7" w:rsidRDefault="00444DAD">
      <w:pPr>
        <w:pStyle w:val="List3"/>
      </w:pPr>
      <w:r>
        <w:t>b.</w:t>
      </w:r>
      <w:r>
        <w:tab/>
        <w:t>No less than 50 percent</w:t>
      </w:r>
      <w:r>
        <w:t xml:space="preserve"> of the bicycle parking shall be located along the primary street within 50 feet of the primary building entrance. Other locations shall be incorporated within the usable open spaces or within 50 feet of secondary entrances. </w:t>
      </w:r>
    </w:p>
    <w:p w:rsidR="009F42A7" w:rsidRDefault="00444DAD">
      <w:pPr>
        <w:pStyle w:val="List3"/>
      </w:pPr>
      <w:r>
        <w:t>c.</w:t>
      </w:r>
      <w:r>
        <w:tab/>
        <w:t xml:space="preserve">Bicycle parking facilities </w:t>
      </w:r>
      <w:r>
        <w:t xml:space="preserve">shall either be lockable enclosures in which the bicycles are stored or black-powder-coated wave or coil racks that require a user-supplied lock that accommodate locking the frame and wheel(s). (See Figure SJ0-8). </w:t>
      </w:r>
    </w:p>
    <w:p w:rsidR="009F42A7" w:rsidRDefault="009F42A7"/>
    <w:p w:rsidR="009F42A7" w:rsidRDefault="00444DAD">
      <w:pPr>
        <w:pStyle w:val="ImageCaptionAboveLeft"/>
      </w:pPr>
      <w:r>
        <w:rPr>
          <w:b w:val="0"/>
          <w:i/>
        </w:rPr>
        <w:t>Figure SJO-8. Bicycle Parking</w:t>
      </w:r>
      <w:r>
        <w:br/>
      </w:r>
    </w:p>
    <w:p w:rsidR="009F42A7" w:rsidRDefault="00444DAD">
      <w:pPr>
        <w:pStyle w:val="ImageLeft"/>
      </w:pPr>
      <w:r>
        <w:rPr>
          <w:noProof/>
        </w:rPr>
        <w:drawing>
          <wp:inline distT="0" distB="0" distL="0" distR="0">
            <wp:extent cx="4876800" cy="2489200"/>
            <wp:effectExtent l="0" t="0" r="0" b="0"/>
            <wp:docPr id="8" name="Drawing 7" descr="2-082H.pn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876800" cy="2489200"/>
                    </a:xfrm>
                    <a:prstGeom prst="rect">
                      <a:avLst/>
                    </a:prstGeom>
                  </pic:spPr>
                </pic:pic>
              </a:graphicData>
            </a:graphic>
          </wp:inline>
        </w:drawing>
      </w:r>
    </w:p>
    <w:p w:rsidR="009F42A7" w:rsidRDefault="00444DAD">
      <w:pPr>
        <w:pStyle w:val="List3"/>
      </w:pPr>
      <w:r>
        <w:t>d.</w:t>
      </w:r>
      <w:r>
        <w:tab/>
        <w:t>Bicy</w:t>
      </w:r>
      <w:r>
        <w:t xml:space="preserve">cle parking facilities shall be securely anchored and located in lighted and visible locations. </w:t>
      </w:r>
    </w:p>
    <w:p w:rsidR="009F42A7" w:rsidRDefault="00444DAD">
      <w:pPr>
        <w:pStyle w:val="List3"/>
      </w:pPr>
      <w:r>
        <w:t>e.</w:t>
      </w:r>
      <w:r>
        <w:tab/>
        <w:t>Bicycle parking facilities shall have a minimum depth of eight feet and shall be installed in a fashion that a parked bicycle does not extend into a sidewal</w:t>
      </w:r>
      <w:r>
        <w:t xml:space="preserve">k or trail. </w:t>
      </w:r>
    </w:p>
    <w:p w:rsidR="009F42A7" w:rsidRDefault="00444DAD">
      <w:pPr>
        <w:pStyle w:val="List1"/>
      </w:pPr>
      <w:r>
        <w:t>(j)</w:t>
      </w:r>
      <w:r>
        <w:tab/>
      </w:r>
      <w:r>
        <w:rPr>
          <w:i/>
        </w:rPr>
        <w:t>Landscaping.</w:t>
      </w:r>
      <w:r>
        <w:t xml:space="preserve"> Landscaping should enhance the development aesthetically and functionally by adding natural and vegetated elements to the San Jacinto overlay district. Landscaping helps with identifying transition from public realms to privat</w:t>
      </w:r>
      <w:r>
        <w:t xml:space="preserve">e and from non-residential uses to residential uses. Additionally, landscaping can be used for various functions of rain water capture, shading, and sound buffering. </w:t>
      </w:r>
    </w:p>
    <w:p w:rsidR="009F42A7" w:rsidRDefault="00444DAD">
      <w:pPr>
        <w:pStyle w:val="List2"/>
      </w:pPr>
      <w:r>
        <w:t>(1)</w:t>
      </w:r>
      <w:r>
        <w:tab/>
      </w:r>
      <w:r>
        <w:rPr>
          <w:i/>
        </w:rPr>
        <w:t>Streetscape.</w:t>
      </w:r>
    </w:p>
    <w:p w:rsidR="009F42A7" w:rsidRDefault="00444DAD">
      <w:pPr>
        <w:pStyle w:val="List3"/>
      </w:pPr>
      <w:r>
        <w:t>a.</w:t>
      </w:r>
      <w:r>
        <w:tab/>
        <w:t>Except where driveways or intersecting streets are required, streetsc</w:t>
      </w:r>
      <w:r>
        <w:t xml:space="preserve">ape shall be required along the entire length of the property that is adjacent to a street or primary access drive where developed land is located. </w:t>
      </w:r>
    </w:p>
    <w:p w:rsidR="009F42A7" w:rsidRDefault="00444DAD">
      <w:pPr>
        <w:pStyle w:val="List3"/>
      </w:pPr>
      <w:r>
        <w:t>b.</w:t>
      </w:r>
      <w:r>
        <w:tab/>
        <w:t xml:space="preserve">Along arterial streets, streetscape shall be no less than 12 feet wide. </w:t>
      </w:r>
    </w:p>
    <w:p w:rsidR="009F42A7" w:rsidRDefault="00444DAD">
      <w:pPr>
        <w:pStyle w:val="List3"/>
      </w:pPr>
      <w:r>
        <w:t>c.</w:t>
      </w:r>
      <w:r>
        <w:tab/>
        <w:t>Along collector and local st</w:t>
      </w:r>
      <w:r>
        <w:t xml:space="preserve">reets, streetscape shall be six feet wide. </w:t>
      </w:r>
    </w:p>
    <w:p w:rsidR="009F42A7" w:rsidRDefault="00444DAD">
      <w:pPr>
        <w:pStyle w:val="List3"/>
      </w:pPr>
      <w:r>
        <w:lastRenderedPageBreak/>
        <w:t>d.</w:t>
      </w:r>
      <w:r>
        <w:tab/>
        <w:t>The streetscape shall be planted with deciduous shade trees five feet tall with a two-inch caliper, DBH, at time of planting, and no less than 20 feet tall at maturity, planted 30 feet on center, and shrubbery</w:t>
      </w:r>
      <w:r>
        <w:t xml:space="preserve"> forming an intermittent hedge not less than three feet in height designed to provide an adequate screen of off-street parking. </w:t>
      </w:r>
    </w:p>
    <w:p w:rsidR="009F42A7" w:rsidRDefault="00444DAD">
      <w:pPr>
        <w:pStyle w:val="List3"/>
      </w:pPr>
      <w:r>
        <w:t>e.</w:t>
      </w:r>
      <w:r>
        <w:tab/>
        <w:t>As part of the landscape plan, shrubs may be clustered or spaced at various intervals based on specific site requirements, b</w:t>
      </w:r>
      <w:r>
        <w:t xml:space="preserve">ut the total number of shrubs planted shall be no less than the amount required by linear planting spaced three feet apart. </w:t>
      </w:r>
    </w:p>
    <w:p w:rsidR="009F42A7" w:rsidRDefault="00444DAD">
      <w:pPr>
        <w:pStyle w:val="List2"/>
      </w:pPr>
      <w:r>
        <w:t>(2)</w:t>
      </w:r>
      <w:r>
        <w:tab/>
      </w:r>
      <w:r>
        <w:rPr>
          <w:i/>
        </w:rPr>
        <w:t>Parking area landscaping.</w:t>
      </w:r>
    </w:p>
    <w:p w:rsidR="009F42A7" w:rsidRDefault="00444DAD">
      <w:pPr>
        <w:pStyle w:val="List3"/>
      </w:pPr>
      <w:r>
        <w:t>a.</w:t>
      </w:r>
      <w:r>
        <w:tab/>
        <w:t xml:space="preserve">A landscaping island shall be located at the end of every parking row. </w:t>
      </w:r>
    </w:p>
    <w:p w:rsidR="009F42A7" w:rsidRDefault="00444DAD">
      <w:pPr>
        <w:pStyle w:val="List3"/>
      </w:pPr>
      <w:r>
        <w:t>b.</w:t>
      </w:r>
      <w:r>
        <w:tab/>
        <w:t>A landscaping island sh</w:t>
      </w:r>
      <w:r>
        <w:t xml:space="preserve">all be no less than eight feet wide and 18 feet in length. </w:t>
      </w:r>
    </w:p>
    <w:p w:rsidR="009F42A7" w:rsidRDefault="00444DAD">
      <w:pPr>
        <w:pStyle w:val="List3"/>
      </w:pPr>
      <w:r>
        <w:t>c.</w:t>
      </w:r>
      <w:r>
        <w:tab/>
        <w:t xml:space="preserve">The island shall be planted with ornamental grasses and the required trees based upon the tree species table in subsection (j)(4) of this section. </w:t>
      </w:r>
    </w:p>
    <w:p w:rsidR="009F42A7" w:rsidRDefault="00444DAD">
      <w:pPr>
        <w:pStyle w:val="List3"/>
      </w:pPr>
      <w:r>
        <w:t>d.</w:t>
      </w:r>
      <w:r>
        <w:tab/>
        <w:t>One shade tree shall be provided within ea</w:t>
      </w:r>
      <w:r>
        <w:t xml:space="preserve">ch required landscaping island. </w:t>
      </w:r>
    </w:p>
    <w:p w:rsidR="009F42A7" w:rsidRDefault="00444DAD">
      <w:pPr>
        <w:pStyle w:val="List3"/>
      </w:pPr>
      <w:r>
        <w:t>e.</w:t>
      </w:r>
      <w:r>
        <w:tab/>
        <w:t xml:space="preserve">A maximum of ten continuous linear parking spaces are permitted within a parking row before a landscape island must be installed. (See Figure SJ0-7). </w:t>
      </w:r>
    </w:p>
    <w:p w:rsidR="009F42A7" w:rsidRDefault="00444DAD">
      <w:pPr>
        <w:pStyle w:val="List2"/>
      </w:pPr>
      <w:r>
        <w:t>(3)</w:t>
      </w:r>
      <w:r>
        <w:tab/>
      </w:r>
      <w:r>
        <w:rPr>
          <w:i/>
        </w:rPr>
        <w:t>Compatibility buffer.</w:t>
      </w:r>
    </w:p>
    <w:p w:rsidR="009F42A7" w:rsidRDefault="00444DAD">
      <w:pPr>
        <w:pStyle w:val="List3"/>
      </w:pPr>
      <w:r>
        <w:t>a.</w:t>
      </w:r>
      <w:r>
        <w:tab/>
        <w:t>Compatibility buffers shall create a pla</w:t>
      </w:r>
      <w:r>
        <w:t xml:space="preserve">nted screen between residential uses and non-residential uses or activities. </w:t>
      </w:r>
    </w:p>
    <w:p w:rsidR="009F42A7" w:rsidRDefault="00444DAD">
      <w:pPr>
        <w:pStyle w:val="List3"/>
      </w:pPr>
      <w:r>
        <w:t>b.</w:t>
      </w:r>
      <w:r>
        <w:tab/>
        <w:t>Where a non-residential use abuts property zoned or planned for single-family residential, the minimum buffer width shall be 25 feet, except in areas where cross-access for pe</w:t>
      </w:r>
      <w:r>
        <w:t xml:space="preserve">destrian circulation is planned and/or constructed. </w:t>
      </w:r>
    </w:p>
    <w:p w:rsidR="009F42A7" w:rsidRDefault="00444DAD">
      <w:pPr>
        <w:pStyle w:val="List3"/>
      </w:pPr>
      <w:r>
        <w:t>c.</w:t>
      </w:r>
      <w:r>
        <w:tab/>
        <w:t xml:space="preserve">Compatibility buffers shall be installed with at least one of the following specifications: </w:t>
      </w:r>
    </w:p>
    <w:p w:rsidR="009F42A7" w:rsidRDefault="00444DAD">
      <w:pPr>
        <w:pStyle w:val="List4"/>
      </w:pPr>
      <w:r>
        <w:t>1.</w:t>
      </w:r>
      <w:r>
        <w:tab/>
        <w:t xml:space="preserve">Compatibility buffer one. </w:t>
      </w:r>
    </w:p>
    <w:p w:rsidR="009F42A7" w:rsidRDefault="00444DAD">
      <w:pPr>
        <w:pStyle w:val="List5"/>
      </w:pPr>
      <w:r>
        <w:t>a.</w:t>
      </w:r>
      <w:r>
        <w:tab/>
      </w:r>
      <w:r>
        <w:t xml:space="preserve">A staggered double row consisting of evergreen trees and deciduous trees with an expected growth to a minimum height of 16 feet and a minimum width of ten feet at its maturity; </w:t>
      </w:r>
    </w:p>
    <w:p w:rsidR="009F42A7" w:rsidRDefault="00444DAD">
      <w:pPr>
        <w:pStyle w:val="List5"/>
      </w:pPr>
      <w:r>
        <w:t>b.</w:t>
      </w:r>
      <w:r>
        <w:tab/>
        <w:t xml:space="preserve">Tree planting for each row shall be installed with a maximum separation of </w:t>
      </w:r>
      <w:r>
        <w:t xml:space="preserve">25 feet; </w:t>
      </w:r>
    </w:p>
    <w:p w:rsidR="009F42A7" w:rsidRDefault="00444DAD">
      <w:pPr>
        <w:pStyle w:val="List5"/>
      </w:pPr>
      <w:r>
        <w:t>c.</w:t>
      </w:r>
      <w:r>
        <w:tab/>
        <w:t xml:space="preserve">A transparent fence with a minimum height of six feet shall be installed if an opaque fence has not been constructed along the boundary of the adjacent residential use; and </w:t>
      </w:r>
    </w:p>
    <w:p w:rsidR="009F42A7" w:rsidRDefault="00444DAD">
      <w:pPr>
        <w:pStyle w:val="List5"/>
      </w:pPr>
      <w:r>
        <w:t>d.</w:t>
      </w:r>
      <w:r>
        <w:tab/>
        <w:t>If an opaque fence is installed, it shall be interior to the plant</w:t>
      </w:r>
      <w:r>
        <w:t xml:space="preserve">ings of the buffer. </w:t>
      </w:r>
    </w:p>
    <w:p w:rsidR="009F42A7" w:rsidRDefault="00444DAD">
      <w:pPr>
        <w:pStyle w:val="List4"/>
      </w:pPr>
      <w:r>
        <w:t>2.</w:t>
      </w:r>
      <w:r>
        <w:tab/>
        <w:t xml:space="preserve">Compatibility buffer two. </w:t>
      </w:r>
    </w:p>
    <w:p w:rsidR="009F42A7" w:rsidRDefault="00444DAD">
      <w:pPr>
        <w:pStyle w:val="List5"/>
      </w:pPr>
      <w:r>
        <w:t>a.</w:t>
      </w:r>
      <w:r>
        <w:tab/>
        <w:t xml:space="preserve">A single row of evergreen trees planted with 25 feet of separation; </w:t>
      </w:r>
    </w:p>
    <w:p w:rsidR="009F42A7" w:rsidRDefault="00444DAD">
      <w:pPr>
        <w:pStyle w:val="List5"/>
      </w:pPr>
      <w:r>
        <w:t>b.</w:t>
      </w:r>
      <w:r>
        <w:tab/>
        <w:t xml:space="preserve">Intermediate planting of three understory trees per 100 linear feet; </w:t>
      </w:r>
    </w:p>
    <w:p w:rsidR="009F42A7" w:rsidRDefault="00444DAD">
      <w:pPr>
        <w:pStyle w:val="List5"/>
      </w:pPr>
      <w:r>
        <w:t>c.</w:t>
      </w:r>
      <w:r>
        <w:tab/>
        <w:t xml:space="preserve">Forty shrubs per 100 linear feet; and </w:t>
      </w:r>
    </w:p>
    <w:p w:rsidR="009F42A7" w:rsidRDefault="00444DAD">
      <w:pPr>
        <w:pStyle w:val="List5"/>
      </w:pPr>
      <w:r>
        <w:t>d.</w:t>
      </w:r>
      <w:r>
        <w:tab/>
      </w:r>
      <w:r>
        <w:t xml:space="preserve">Six-foot opaque fence or wall is required and shall be interior to the plantings of the buffer. </w:t>
      </w:r>
    </w:p>
    <w:p w:rsidR="009F42A7" w:rsidRDefault="00444DAD">
      <w:pPr>
        <w:pStyle w:val="List2"/>
      </w:pPr>
      <w:r>
        <w:t>(4)</w:t>
      </w:r>
      <w:r>
        <w:tab/>
      </w:r>
      <w:r>
        <w:rPr>
          <w:i/>
        </w:rPr>
        <w:t>Appropriate tree planting species.</w:t>
      </w:r>
      <w:r>
        <w:t xml:space="preserve"> (Arterial and local streets). Appropriate shade tree species for landscaping parking lots include the following: </w:t>
      </w:r>
    </w:p>
    <w:tbl>
      <w:tblPr>
        <w:tblStyle w:val="Table1f5540e59-5817-4feb-bc45-f4e790f9765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48"/>
        <w:gridCol w:w="1698"/>
        <w:gridCol w:w="1698"/>
        <w:gridCol w:w="1698"/>
        <w:gridCol w:w="1698"/>
      </w:tblGrid>
      <w:tr w:rsidR="009F42A7">
        <w:tc>
          <w:tcPr>
            <w:tcW w:w="1364" w:type="pct"/>
            <w:shd w:val="clear" w:color="auto" w:fill="696969"/>
          </w:tcPr>
          <w:p w:rsidR="009F42A7" w:rsidRDefault="00444DAD">
            <w:r>
              <w:rPr>
                <w:b/>
                <w:color w:val="FFFFFF"/>
              </w:rPr>
              <w:lastRenderedPageBreak/>
              <w:t>Tree S</w:t>
            </w:r>
            <w:r>
              <w:rPr>
                <w:b/>
                <w:color w:val="FFFFFF"/>
              </w:rPr>
              <w:t>pecies</w:t>
            </w:r>
            <w:r>
              <w:t xml:space="preserve"> </w:t>
            </w:r>
          </w:p>
        </w:tc>
        <w:tc>
          <w:tcPr>
            <w:tcW w:w="909" w:type="pct"/>
            <w:shd w:val="clear" w:color="auto" w:fill="696969"/>
          </w:tcPr>
          <w:p w:rsidR="009F42A7" w:rsidRDefault="00444DAD">
            <w:r>
              <w:rPr>
                <w:b/>
                <w:color w:val="FFFFFF"/>
              </w:rPr>
              <w:t>Streetscape</w:t>
            </w:r>
            <w:r>
              <w:br/>
            </w:r>
            <w:r>
              <w:rPr>
                <w:b/>
                <w:color w:val="FFFFFF"/>
              </w:rPr>
              <w:t>12 ft.</w:t>
            </w:r>
            <w:r>
              <w:t xml:space="preserve"> </w:t>
            </w:r>
          </w:p>
        </w:tc>
        <w:tc>
          <w:tcPr>
            <w:tcW w:w="909" w:type="pct"/>
            <w:shd w:val="clear" w:color="auto" w:fill="696969"/>
          </w:tcPr>
          <w:p w:rsidR="009F42A7" w:rsidRDefault="00444DAD">
            <w:r>
              <w:rPr>
                <w:b/>
                <w:color w:val="FFFFFF"/>
              </w:rPr>
              <w:t>Streetscape</w:t>
            </w:r>
            <w:r>
              <w:br/>
            </w:r>
            <w:r>
              <w:rPr>
                <w:b/>
                <w:color w:val="FFFFFF"/>
              </w:rPr>
              <w:t>6 ft.</w:t>
            </w:r>
            <w:r>
              <w:t xml:space="preserve"> </w:t>
            </w:r>
          </w:p>
        </w:tc>
        <w:tc>
          <w:tcPr>
            <w:tcW w:w="909" w:type="pct"/>
            <w:shd w:val="clear" w:color="auto" w:fill="696969"/>
          </w:tcPr>
          <w:p w:rsidR="009F42A7" w:rsidRDefault="00444DAD">
            <w:r>
              <w:rPr>
                <w:b/>
                <w:color w:val="FFFFFF"/>
              </w:rPr>
              <w:t>Landscape</w:t>
            </w:r>
            <w:r>
              <w:br/>
            </w:r>
            <w:r>
              <w:rPr>
                <w:b/>
                <w:color w:val="FFFFFF"/>
              </w:rPr>
              <w:t>Island</w:t>
            </w:r>
            <w:r>
              <w:t xml:space="preserve"> </w:t>
            </w:r>
          </w:p>
        </w:tc>
        <w:tc>
          <w:tcPr>
            <w:tcW w:w="909" w:type="pct"/>
            <w:shd w:val="clear" w:color="auto" w:fill="696969"/>
          </w:tcPr>
          <w:p w:rsidR="009F42A7" w:rsidRDefault="00444DAD">
            <w:proofErr w:type="spellStart"/>
            <w:r>
              <w:rPr>
                <w:b/>
                <w:color w:val="FFFFFF"/>
              </w:rPr>
              <w:t>Compatability</w:t>
            </w:r>
            <w:proofErr w:type="spellEnd"/>
            <w:r>
              <w:br/>
            </w:r>
            <w:r>
              <w:rPr>
                <w:b/>
                <w:color w:val="FFFFFF"/>
              </w:rPr>
              <w:t>Buffer</w:t>
            </w:r>
            <w:r>
              <w:t xml:space="preserve"> </w:t>
            </w:r>
          </w:p>
        </w:tc>
      </w:tr>
      <w:tr w:rsidR="009F42A7">
        <w:tc>
          <w:tcPr>
            <w:tcW w:w="1364" w:type="pct"/>
          </w:tcPr>
          <w:p w:rsidR="009F42A7" w:rsidRDefault="00444DAD">
            <w:r>
              <w:t xml:space="preserve">Lacebark Elm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9F42A7"/>
        </w:tc>
      </w:tr>
      <w:tr w:rsidR="009F42A7">
        <w:tc>
          <w:tcPr>
            <w:tcW w:w="1364" w:type="pct"/>
          </w:tcPr>
          <w:p w:rsidR="009F42A7" w:rsidRDefault="00444DAD">
            <w:r>
              <w:t xml:space="preserve">Eastern Hophornbeam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9F42A7"/>
        </w:tc>
      </w:tr>
      <w:tr w:rsidR="009F42A7">
        <w:tc>
          <w:tcPr>
            <w:tcW w:w="1364" w:type="pct"/>
          </w:tcPr>
          <w:p w:rsidR="009F42A7" w:rsidRDefault="00444DAD">
            <w:r>
              <w:t xml:space="preserve">Golden Rain Tree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9F42A7"/>
        </w:tc>
      </w:tr>
      <w:tr w:rsidR="009F42A7">
        <w:tc>
          <w:tcPr>
            <w:tcW w:w="1364" w:type="pct"/>
          </w:tcPr>
          <w:p w:rsidR="009F42A7" w:rsidRDefault="00444DAD">
            <w:r>
              <w:t xml:space="preserve">Flowering Dogwood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9F42A7"/>
        </w:tc>
      </w:tr>
      <w:tr w:rsidR="009F42A7">
        <w:tc>
          <w:tcPr>
            <w:tcW w:w="1364" w:type="pct"/>
          </w:tcPr>
          <w:p w:rsidR="009F42A7" w:rsidRDefault="00444DAD">
            <w:r>
              <w:t xml:space="preserve">Little Gem Magnolia </w:t>
            </w:r>
          </w:p>
        </w:tc>
        <w:tc>
          <w:tcPr>
            <w:tcW w:w="909" w:type="pct"/>
          </w:tcPr>
          <w:p w:rsidR="009F42A7" w:rsidRDefault="009F42A7"/>
        </w:tc>
        <w:tc>
          <w:tcPr>
            <w:tcW w:w="909" w:type="pct"/>
          </w:tcPr>
          <w:p w:rsidR="009F42A7" w:rsidRDefault="009F42A7"/>
        </w:tc>
        <w:tc>
          <w:tcPr>
            <w:tcW w:w="909" w:type="pct"/>
          </w:tcPr>
          <w:p w:rsidR="009F42A7" w:rsidRDefault="00444DAD">
            <w:r>
              <w:t xml:space="preserve">X </w:t>
            </w:r>
          </w:p>
        </w:tc>
        <w:tc>
          <w:tcPr>
            <w:tcW w:w="909" w:type="pct"/>
          </w:tcPr>
          <w:p w:rsidR="009F42A7" w:rsidRDefault="00444DAD">
            <w:r>
              <w:t xml:space="preserve">X </w:t>
            </w:r>
          </w:p>
        </w:tc>
      </w:tr>
      <w:tr w:rsidR="009F42A7">
        <w:tc>
          <w:tcPr>
            <w:tcW w:w="1364" w:type="pct"/>
          </w:tcPr>
          <w:p w:rsidR="009F42A7" w:rsidRDefault="00444DAD">
            <w:r>
              <w:t xml:space="preserve">American Holly </w:t>
            </w:r>
          </w:p>
        </w:tc>
        <w:tc>
          <w:tcPr>
            <w:tcW w:w="909" w:type="pct"/>
          </w:tcPr>
          <w:p w:rsidR="009F42A7" w:rsidRDefault="009F42A7"/>
        </w:tc>
        <w:tc>
          <w:tcPr>
            <w:tcW w:w="909" w:type="pct"/>
          </w:tcPr>
          <w:p w:rsidR="009F42A7" w:rsidRDefault="009F42A7"/>
        </w:tc>
        <w:tc>
          <w:tcPr>
            <w:tcW w:w="909" w:type="pct"/>
          </w:tcPr>
          <w:p w:rsidR="009F42A7" w:rsidRDefault="00444DAD">
            <w:r>
              <w:t xml:space="preserve">X </w:t>
            </w:r>
          </w:p>
        </w:tc>
        <w:tc>
          <w:tcPr>
            <w:tcW w:w="909" w:type="pct"/>
          </w:tcPr>
          <w:p w:rsidR="009F42A7" w:rsidRDefault="00444DAD">
            <w:r>
              <w:t xml:space="preserve">X </w:t>
            </w:r>
          </w:p>
        </w:tc>
      </w:tr>
      <w:tr w:rsidR="009F42A7">
        <w:tc>
          <w:tcPr>
            <w:tcW w:w="1364" w:type="pct"/>
          </w:tcPr>
          <w:p w:rsidR="009F42A7" w:rsidRDefault="00444DAD">
            <w:r>
              <w:t xml:space="preserve">Carolina Laurel Cherry </w:t>
            </w:r>
          </w:p>
        </w:tc>
        <w:tc>
          <w:tcPr>
            <w:tcW w:w="909" w:type="pct"/>
          </w:tcPr>
          <w:p w:rsidR="009F42A7" w:rsidRDefault="009F42A7"/>
        </w:tc>
        <w:tc>
          <w:tcPr>
            <w:tcW w:w="909" w:type="pct"/>
          </w:tcPr>
          <w:p w:rsidR="009F42A7" w:rsidRDefault="009F42A7"/>
        </w:tc>
        <w:tc>
          <w:tcPr>
            <w:tcW w:w="909" w:type="pct"/>
          </w:tcPr>
          <w:p w:rsidR="009F42A7" w:rsidRDefault="009F42A7"/>
        </w:tc>
        <w:tc>
          <w:tcPr>
            <w:tcW w:w="909" w:type="pct"/>
          </w:tcPr>
          <w:p w:rsidR="009F42A7" w:rsidRDefault="00444DAD">
            <w:r>
              <w:t xml:space="preserve">X </w:t>
            </w:r>
          </w:p>
        </w:tc>
      </w:tr>
      <w:tr w:rsidR="009F42A7">
        <w:tc>
          <w:tcPr>
            <w:tcW w:w="1364" w:type="pct"/>
          </w:tcPr>
          <w:p w:rsidR="009F42A7" w:rsidRDefault="00444DAD">
            <w:r>
              <w:t xml:space="preserve">Eastern Red Cedar </w:t>
            </w:r>
          </w:p>
        </w:tc>
        <w:tc>
          <w:tcPr>
            <w:tcW w:w="909" w:type="pct"/>
          </w:tcPr>
          <w:p w:rsidR="009F42A7" w:rsidRDefault="009F42A7"/>
        </w:tc>
        <w:tc>
          <w:tcPr>
            <w:tcW w:w="909" w:type="pct"/>
          </w:tcPr>
          <w:p w:rsidR="009F42A7" w:rsidRDefault="009F42A7"/>
        </w:tc>
        <w:tc>
          <w:tcPr>
            <w:tcW w:w="909" w:type="pct"/>
          </w:tcPr>
          <w:p w:rsidR="009F42A7" w:rsidRDefault="009F42A7"/>
        </w:tc>
        <w:tc>
          <w:tcPr>
            <w:tcW w:w="909" w:type="pct"/>
          </w:tcPr>
          <w:p w:rsidR="009F42A7" w:rsidRDefault="00444DAD">
            <w:r>
              <w:t xml:space="preserve">X </w:t>
            </w:r>
          </w:p>
        </w:tc>
      </w:tr>
      <w:tr w:rsidR="009F42A7">
        <w:tc>
          <w:tcPr>
            <w:tcW w:w="1364" w:type="pct"/>
          </w:tcPr>
          <w:p w:rsidR="009F42A7" w:rsidRDefault="00444DAD">
            <w:proofErr w:type="spellStart"/>
            <w:r>
              <w:t>Anacua</w:t>
            </w:r>
            <w:proofErr w:type="spellEnd"/>
            <w:r>
              <w:t xml:space="preserve"> </w:t>
            </w:r>
          </w:p>
        </w:tc>
        <w:tc>
          <w:tcPr>
            <w:tcW w:w="909" w:type="pct"/>
          </w:tcPr>
          <w:p w:rsidR="009F42A7" w:rsidRDefault="009F42A7"/>
        </w:tc>
        <w:tc>
          <w:tcPr>
            <w:tcW w:w="909" w:type="pct"/>
          </w:tcPr>
          <w:p w:rsidR="009F42A7" w:rsidRDefault="009F42A7"/>
        </w:tc>
        <w:tc>
          <w:tcPr>
            <w:tcW w:w="909" w:type="pct"/>
          </w:tcPr>
          <w:p w:rsidR="009F42A7" w:rsidRDefault="00444DAD">
            <w:r>
              <w:t xml:space="preserve">X </w:t>
            </w:r>
          </w:p>
        </w:tc>
        <w:tc>
          <w:tcPr>
            <w:tcW w:w="909" w:type="pct"/>
          </w:tcPr>
          <w:p w:rsidR="009F42A7" w:rsidRDefault="00444DAD">
            <w:r>
              <w:t xml:space="preserve">X </w:t>
            </w:r>
          </w:p>
        </w:tc>
      </w:tr>
      <w:tr w:rsidR="009F42A7">
        <w:tc>
          <w:tcPr>
            <w:tcW w:w="1364" w:type="pct"/>
          </w:tcPr>
          <w:p w:rsidR="009F42A7" w:rsidRDefault="00444DAD">
            <w:r>
              <w:t xml:space="preserve">Wax Myrtle </w:t>
            </w:r>
          </w:p>
        </w:tc>
        <w:tc>
          <w:tcPr>
            <w:tcW w:w="909" w:type="pct"/>
          </w:tcPr>
          <w:p w:rsidR="009F42A7" w:rsidRDefault="009F42A7"/>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9F42A7"/>
        </w:tc>
      </w:tr>
      <w:tr w:rsidR="009F42A7">
        <w:tc>
          <w:tcPr>
            <w:tcW w:w="1364" w:type="pct"/>
          </w:tcPr>
          <w:p w:rsidR="009F42A7" w:rsidRDefault="00444DAD">
            <w:r>
              <w:t xml:space="preserve">Yaupon </w:t>
            </w:r>
          </w:p>
        </w:tc>
        <w:tc>
          <w:tcPr>
            <w:tcW w:w="909" w:type="pct"/>
          </w:tcPr>
          <w:p w:rsidR="009F42A7" w:rsidRDefault="009F42A7"/>
        </w:tc>
        <w:tc>
          <w:tcPr>
            <w:tcW w:w="909" w:type="pct"/>
          </w:tcPr>
          <w:p w:rsidR="009F42A7" w:rsidRDefault="00444DAD">
            <w:r>
              <w:t xml:space="preserve">X </w:t>
            </w:r>
          </w:p>
        </w:tc>
        <w:tc>
          <w:tcPr>
            <w:tcW w:w="909" w:type="pct"/>
          </w:tcPr>
          <w:p w:rsidR="009F42A7" w:rsidRDefault="00444DAD">
            <w:r>
              <w:t xml:space="preserve">X </w:t>
            </w:r>
          </w:p>
        </w:tc>
        <w:tc>
          <w:tcPr>
            <w:tcW w:w="909" w:type="pct"/>
          </w:tcPr>
          <w:p w:rsidR="009F42A7" w:rsidRDefault="00444DAD">
            <w:r>
              <w:t xml:space="preserve">X </w:t>
            </w:r>
          </w:p>
        </w:tc>
      </w:tr>
      <w:tr w:rsidR="009F42A7">
        <w:tc>
          <w:tcPr>
            <w:tcW w:w="1364" w:type="pct"/>
          </w:tcPr>
          <w:p w:rsidR="009F42A7" w:rsidRDefault="00444DAD">
            <w:r>
              <w:t xml:space="preserve">American Elm </w:t>
            </w:r>
          </w:p>
        </w:tc>
        <w:tc>
          <w:tcPr>
            <w:tcW w:w="909" w:type="pct"/>
          </w:tcPr>
          <w:p w:rsidR="009F42A7" w:rsidRDefault="00444DAD">
            <w:r>
              <w:t xml:space="preserve">X </w:t>
            </w:r>
          </w:p>
        </w:tc>
        <w:tc>
          <w:tcPr>
            <w:tcW w:w="909" w:type="pct"/>
          </w:tcPr>
          <w:p w:rsidR="009F42A7" w:rsidRDefault="009F42A7"/>
        </w:tc>
        <w:tc>
          <w:tcPr>
            <w:tcW w:w="909" w:type="pct"/>
          </w:tcPr>
          <w:p w:rsidR="009F42A7" w:rsidRDefault="00444DAD">
            <w:r>
              <w:t xml:space="preserve">X </w:t>
            </w:r>
          </w:p>
        </w:tc>
        <w:tc>
          <w:tcPr>
            <w:tcW w:w="909" w:type="pct"/>
          </w:tcPr>
          <w:p w:rsidR="009F42A7" w:rsidRDefault="009F42A7"/>
        </w:tc>
      </w:tr>
      <w:tr w:rsidR="009F42A7">
        <w:tc>
          <w:tcPr>
            <w:tcW w:w="1364" w:type="pct"/>
          </w:tcPr>
          <w:p w:rsidR="009F42A7" w:rsidRDefault="00444DAD">
            <w:r>
              <w:t xml:space="preserve">Leyland Cypress </w:t>
            </w:r>
          </w:p>
        </w:tc>
        <w:tc>
          <w:tcPr>
            <w:tcW w:w="909" w:type="pct"/>
          </w:tcPr>
          <w:p w:rsidR="009F42A7" w:rsidRDefault="009F42A7"/>
        </w:tc>
        <w:tc>
          <w:tcPr>
            <w:tcW w:w="909" w:type="pct"/>
          </w:tcPr>
          <w:p w:rsidR="009F42A7" w:rsidRDefault="009F42A7"/>
        </w:tc>
        <w:tc>
          <w:tcPr>
            <w:tcW w:w="909" w:type="pct"/>
          </w:tcPr>
          <w:p w:rsidR="009F42A7" w:rsidRDefault="00444DAD">
            <w:r>
              <w:t xml:space="preserve">X </w:t>
            </w:r>
          </w:p>
        </w:tc>
        <w:tc>
          <w:tcPr>
            <w:tcW w:w="909" w:type="pct"/>
          </w:tcPr>
          <w:p w:rsidR="009F42A7" w:rsidRDefault="00444DAD">
            <w:r>
              <w:t xml:space="preserve">X </w:t>
            </w:r>
          </w:p>
        </w:tc>
      </w:tr>
    </w:tbl>
    <w:p w:rsidR="009F42A7" w:rsidRDefault="009F42A7"/>
    <w:p w:rsidR="009F42A7" w:rsidRDefault="00444DAD">
      <w:pPr>
        <w:pStyle w:val="List1"/>
      </w:pPr>
      <w:r>
        <w:t>(k)</w:t>
      </w:r>
      <w:r>
        <w:tab/>
      </w:r>
      <w:r>
        <w:rPr>
          <w:i/>
        </w:rPr>
        <w:t>Residential uses.</w:t>
      </w:r>
      <w:r>
        <w:t xml:space="preserve"> The San Jacinto overlay district facilitates medium residential density into commercial zones by using a variety of housing products such as townhouses, duplexes, triplexes, and fourplexes. This section helps to manage compatibility with commercial adjace</w:t>
      </w:r>
      <w:r>
        <w:t xml:space="preserve">ncy and integrates the residential uses with the non-residential uses. </w:t>
      </w:r>
    </w:p>
    <w:p w:rsidR="009F42A7" w:rsidRDefault="00444DAD">
      <w:pPr>
        <w:pStyle w:val="List2"/>
      </w:pPr>
      <w:r>
        <w:t>(1)</w:t>
      </w:r>
      <w:r>
        <w:tab/>
        <w:t>[</w:t>
      </w:r>
      <w:r>
        <w:rPr>
          <w:i/>
        </w:rPr>
        <w:t>Subject to property development standards.</w:t>
      </w:r>
      <w:r>
        <w:t>] All the residential uses associated with this overlay district shall be subject to the property development standards for the Medium De</w:t>
      </w:r>
      <w:r>
        <w:t>nsity Mixed Residential (MF1) zoning district found in article II of the ULDC. In the event of a conflict between the provisions of the San Jacinto overlay district and the provisions of the underlying zoning district or any referenced zoning district, the</w:t>
      </w:r>
      <w:r>
        <w:t xml:space="preserve"> provisions of the San Jacinto overlay district shall prevail when a residential project is being developed. </w:t>
      </w:r>
    </w:p>
    <w:p w:rsidR="009F42A7" w:rsidRDefault="00444DAD">
      <w:pPr>
        <w:pStyle w:val="List2"/>
      </w:pPr>
      <w:r>
        <w:t>(2)</w:t>
      </w:r>
      <w:r>
        <w:tab/>
      </w:r>
      <w:r>
        <w:rPr>
          <w:i/>
        </w:rPr>
        <w:t>Platting process.</w:t>
      </w:r>
      <w:r>
        <w:t xml:space="preserve"> In project areas that utilize a mixture of housing types (single-family attached, duplex, triplex, or fourplex), during the </w:t>
      </w:r>
      <w:r>
        <w:t xml:space="preserve">platting process, the applicant shall notate the designation of the housing product for each lot on the plat. </w:t>
      </w:r>
    </w:p>
    <w:p w:rsidR="009F42A7" w:rsidRDefault="00444DAD">
      <w:pPr>
        <w:pStyle w:val="List2"/>
      </w:pPr>
      <w:r>
        <w:t>(3)</w:t>
      </w:r>
      <w:r>
        <w:tab/>
      </w:r>
      <w:r>
        <w:rPr>
          <w:i/>
        </w:rPr>
        <w:t>Prohibited uses.</w:t>
      </w:r>
      <w:r>
        <w:t xml:space="preserve"> The following are prohibited uses in the San Jacinto overlay district: </w:t>
      </w:r>
    </w:p>
    <w:p w:rsidR="009F42A7" w:rsidRDefault="00444DAD">
      <w:pPr>
        <w:pStyle w:val="List3"/>
      </w:pPr>
      <w:r>
        <w:t>a.</w:t>
      </w:r>
      <w:r>
        <w:tab/>
        <w:t xml:space="preserve">Golf course; </w:t>
      </w:r>
    </w:p>
    <w:p w:rsidR="009F42A7" w:rsidRDefault="00444DAD">
      <w:pPr>
        <w:pStyle w:val="List3"/>
      </w:pPr>
      <w:r>
        <w:t>b.</w:t>
      </w:r>
      <w:r>
        <w:tab/>
        <w:t xml:space="preserve">Industrialized home; and </w:t>
      </w:r>
    </w:p>
    <w:p w:rsidR="009F42A7" w:rsidRDefault="00444DAD">
      <w:pPr>
        <w:pStyle w:val="List3"/>
      </w:pPr>
      <w:r>
        <w:t>c.</w:t>
      </w:r>
      <w:r>
        <w:tab/>
      </w:r>
      <w:r>
        <w:t xml:space="preserve">Laundry building. </w:t>
      </w:r>
    </w:p>
    <w:p w:rsidR="009F42A7" w:rsidRDefault="00444DAD">
      <w:pPr>
        <w:pStyle w:val="List2"/>
      </w:pPr>
      <w:r>
        <w:t>(4)</w:t>
      </w:r>
      <w:r>
        <w:tab/>
      </w:r>
      <w:r>
        <w:rPr>
          <w:i/>
        </w:rPr>
        <w:t>Uses permitted with conditions.</w:t>
      </w:r>
      <w:r>
        <w:t xml:space="preserve"> The following uses are permitted with conditions in the San Jacinto overlay district: </w:t>
      </w:r>
    </w:p>
    <w:tbl>
      <w:tblPr>
        <w:tblStyle w:val="Table1224eaa88-a780-46b1-8397-1eb3180d25ab"/>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02"/>
        <w:gridCol w:w="1167"/>
        <w:gridCol w:w="1168"/>
        <w:gridCol w:w="3503"/>
      </w:tblGrid>
      <w:tr w:rsidR="009F42A7">
        <w:tc>
          <w:tcPr>
            <w:tcW w:w="5000" w:type="pct"/>
            <w:gridSpan w:val="4"/>
            <w:shd w:val="clear" w:color="auto" w:fill="696969"/>
          </w:tcPr>
          <w:p w:rsidR="009F42A7" w:rsidRDefault="00444DAD">
            <w:r>
              <w:rPr>
                <w:b/>
                <w:color w:val="FFFFFF"/>
              </w:rPr>
              <w:t>Residential Uses Permitted with Conditions</w:t>
            </w:r>
            <w:r>
              <w:br/>
              <w:t xml:space="preserve"> </w:t>
            </w:r>
          </w:p>
        </w:tc>
      </w:tr>
      <w:tr w:rsidR="009F42A7">
        <w:tc>
          <w:tcPr>
            <w:tcW w:w="1875" w:type="pct"/>
            <w:shd w:val="clear" w:color="auto" w:fill="696969"/>
          </w:tcPr>
          <w:p w:rsidR="009F42A7" w:rsidRDefault="00444DAD">
            <w:r>
              <w:rPr>
                <w:b/>
                <w:color w:val="FFFFFF"/>
              </w:rPr>
              <w:t>Land Use</w:t>
            </w:r>
            <w:r>
              <w:t xml:space="preserve"> </w:t>
            </w:r>
          </w:p>
        </w:tc>
        <w:tc>
          <w:tcPr>
            <w:tcW w:w="625" w:type="pct"/>
            <w:shd w:val="clear" w:color="auto" w:fill="696969"/>
          </w:tcPr>
          <w:p w:rsidR="009F42A7" w:rsidRDefault="00444DAD">
            <w:r>
              <w:rPr>
                <w:b/>
                <w:color w:val="FFFFFF"/>
              </w:rPr>
              <w:t>Tier</w:t>
            </w:r>
            <w:r>
              <w:t xml:space="preserve"> </w:t>
            </w:r>
          </w:p>
        </w:tc>
        <w:tc>
          <w:tcPr>
            <w:tcW w:w="625" w:type="pct"/>
            <w:shd w:val="clear" w:color="auto" w:fill="696969"/>
          </w:tcPr>
          <w:p w:rsidR="009F42A7" w:rsidRDefault="00444DAD">
            <w:r>
              <w:rPr>
                <w:b/>
                <w:color w:val="FFFFFF"/>
              </w:rPr>
              <w:t>Cond Ref</w:t>
            </w:r>
            <w:r>
              <w:t xml:space="preserve"> </w:t>
            </w:r>
          </w:p>
        </w:tc>
        <w:tc>
          <w:tcPr>
            <w:tcW w:w="1875" w:type="pct"/>
            <w:shd w:val="clear" w:color="auto" w:fill="696969"/>
          </w:tcPr>
          <w:p w:rsidR="009F42A7" w:rsidRDefault="00444DAD">
            <w:r>
              <w:rPr>
                <w:b/>
                <w:color w:val="FFFFFF"/>
              </w:rPr>
              <w:t>Additional Regulations</w:t>
            </w:r>
            <w:r>
              <w:br/>
              <w:t xml:space="preserve"> </w:t>
            </w:r>
          </w:p>
        </w:tc>
      </w:tr>
      <w:tr w:rsidR="009F42A7">
        <w:tc>
          <w:tcPr>
            <w:tcW w:w="1875" w:type="pct"/>
          </w:tcPr>
          <w:p w:rsidR="009F42A7" w:rsidRDefault="00444DAD">
            <w:r>
              <w:t xml:space="preserve">Multi-family dwellings </w:t>
            </w:r>
          </w:p>
        </w:tc>
        <w:tc>
          <w:tcPr>
            <w:tcW w:w="625" w:type="pct"/>
          </w:tcPr>
          <w:p w:rsidR="009F42A7" w:rsidRDefault="00444DAD">
            <w:r>
              <w:t xml:space="preserve">1, 2, 3 </w:t>
            </w:r>
          </w:p>
        </w:tc>
        <w:tc>
          <w:tcPr>
            <w:tcW w:w="625" w:type="pct"/>
          </w:tcPr>
          <w:p w:rsidR="009F42A7" w:rsidRDefault="009F42A7"/>
        </w:tc>
        <w:tc>
          <w:tcPr>
            <w:tcW w:w="1875" w:type="pct"/>
          </w:tcPr>
          <w:p w:rsidR="009F42A7" w:rsidRDefault="00444DAD">
            <w:r>
              <w:t xml:space="preserve">1. Must be located at least one-half mile from any existing garden-style multi-family complex. </w:t>
            </w:r>
            <w:r>
              <w:br/>
              <w:t xml:space="preserve">2. Shall have a maximum build out of three hundred (300) dwelling units. </w:t>
            </w:r>
            <w:r>
              <w:br/>
            </w:r>
            <w:r>
              <w:lastRenderedPageBreak/>
              <w:t>3. Shall be located on not more than fifteen (15) ac</w:t>
            </w:r>
            <w:r>
              <w:t xml:space="preserve">res. </w:t>
            </w:r>
          </w:p>
        </w:tc>
      </w:tr>
      <w:tr w:rsidR="009F42A7">
        <w:tc>
          <w:tcPr>
            <w:tcW w:w="1875" w:type="pct"/>
          </w:tcPr>
          <w:p w:rsidR="009F42A7" w:rsidRDefault="00444DAD">
            <w:r>
              <w:lastRenderedPageBreak/>
              <w:t xml:space="preserve">Single-family detached </w:t>
            </w:r>
          </w:p>
        </w:tc>
        <w:tc>
          <w:tcPr>
            <w:tcW w:w="625" w:type="pct"/>
          </w:tcPr>
          <w:p w:rsidR="009F42A7" w:rsidRDefault="00444DAD">
            <w:r>
              <w:t xml:space="preserve">3 </w:t>
            </w:r>
          </w:p>
        </w:tc>
        <w:tc>
          <w:tcPr>
            <w:tcW w:w="625" w:type="pct"/>
          </w:tcPr>
          <w:p w:rsidR="009F42A7" w:rsidRDefault="009F42A7"/>
        </w:tc>
        <w:tc>
          <w:tcPr>
            <w:tcW w:w="1875" w:type="pct"/>
          </w:tcPr>
          <w:p w:rsidR="009F42A7" w:rsidRDefault="00444DAD">
            <w:r>
              <w:t xml:space="preserve">1. Shall be built to a maximum density of nine (9) units per acre. </w:t>
            </w:r>
            <w:r>
              <w:br/>
              <w:t xml:space="preserve">2. Minimum floor area of 2,000 square feet per unit. </w:t>
            </w:r>
          </w:p>
        </w:tc>
      </w:tr>
      <w:tr w:rsidR="009F42A7">
        <w:tc>
          <w:tcPr>
            <w:tcW w:w="1875" w:type="pct"/>
          </w:tcPr>
          <w:p w:rsidR="009F42A7" w:rsidRDefault="00444DAD">
            <w:r>
              <w:t xml:space="preserve">Single-family attached dwelling (Townhouses) </w:t>
            </w:r>
          </w:p>
        </w:tc>
        <w:tc>
          <w:tcPr>
            <w:tcW w:w="625" w:type="pct"/>
          </w:tcPr>
          <w:p w:rsidR="009F42A7" w:rsidRDefault="00444DAD">
            <w:r>
              <w:t xml:space="preserve">2, 3 </w:t>
            </w:r>
          </w:p>
        </w:tc>
        <w:tc>
          <w:tcPr>
            <w:tcW w:w="625" w:type="pct"/>
          </w:tcPr>
          <w:p w:rsidR="009F42A7" w:rsidRDefault="00444DAD">
            <w:r>
              <w:t xml:space="preserve">B14 </w:t>
            </w:r>
          </w:p>
        </w:tc>
        <w:tc>
          <w:tcPr>
            <w:tcW w:w="1875" w:type="pct"/>
          </w:tcPr>
          <w:p w:rsidR="009F42A7" w:rsidRDefault="00444DAD">
            <w:r>
              <w:t xml:space="preserve">1. Maximum building length of 200 feet. </w:t>
            </w:r>
            <w:r>
              <w:br/>
            </w:r>
            <w:r>
              <w:t xml:space="preserve">2. Minimum floor area of 1,200 square feet per unit. </w:t>
            </w:r>
          </w:p>
        </w:tc>
      </w:tr>
      <w:tr w:rsidR="009F42A7">
        <w:tc>
          <w:tcPr>
            <w:tcW w:w="1875" w:type="pct"/>
          </w:tcPr>
          <w:p w:rsidR="009F42A7" w:rsidRDefault="00444DAD">
            <w:r>
              <w:t xml:space="preserve">Two-family dwelling duplex </w:t>
            </w:r>
          </w:p>
        </w:tc>
        <w:tc>
          <w:tcPr>
            <w:tcW w:w="625" w:type="pct"/>
          </w:tcPr>
          <w:p w:rsidR="009F42A7" w:rsidRDefault="00444DAD">
            <w:r>
              <w:t xml:space="preserve">2, 3 </w:t>
            </w:r>
          </w:p>
        </w:tc>
        <w:tc>
          <w:tcPr>
            <w:tcW w:w="625" w:type="pct"/>
          </w:tcPr>
          <w:p w:rsidR="009F42A7" w:rsidRDefault="009F42A7"/>
        </w:tc>
        <w:tc>
          <w:tcPr>
            <w:tcW w:w="1875" w:type="pct"/>
            <w:vMerge w:val="restart"/>
          </w:tcPr>
          <w:p w:rsidR="009F42A7" w:rsidRDefault="00444DAD">
            <w:r>
              <w:t xml:space="preserve">Minimum floor area of 750 square feet per unit. </w:t>
            </w:r>
          </w:p>
        </w:tc>
      </w:tr>
      <w:tr w:rsidR="009F42A7">
        <w:tc>
          <w:tcPr>
            <w:tcW w:w="1875" w:type="pct"/>
          </w:tcPr>
          <w:p w:rsidR="009F42A7" w:rsidRDefault="00444DAD">
            <w:r>
              <w:t xml:space="preserve">Three-family dwelling, triplex </w:t>
            </w:r>
          </w:p>
        </w:tc>
        <w:tc>
          <w:tcPr>
            <w:tcW w:w="625" w:type="pct"/>
          </w:tcPr>
          <w:p w:rsidR="009F42A7" w:rsidRDefault="00444DAD">
            <w:r>
              <w:t xml:space="preserve">2, 3 </w:t>
            </w:r>
          </w:p>
        </w:tc>
        <w:tc>
          <w:tcPr>
            <w:tcW w:w="625" w:type="pct"/>
          </w:tcPr>
          <w:p w:rsidR="009F42A7" w:rsidRDefault="009F42A7"/>
        </w:tc>
        <w:tc>
          <w:tcPr>
            <w:tcW w:w="1875" w:type="pct"/>
            <w:vMerge/>
          </w:tcPr>
          <w:p w:rsidR="009F42A7" w:rsidRDefault="009F42A7"/>
        </w:tc>
      </w:tr>
      <w:tr w:rsidR="009F42A7">
        <w:tc>
          <w:tcPr>
            <w:tcW w:w="1875" w:type="pct"/>
          </w:tcPr>
          <w:p w:rsidR="009F42A7" w:rsidRDefault="00444DAD">
            <w:r>
              <w:t xml:space="preserve">Four-family dwelling, fourplex </w:t>
            </w:r>
          </w:p>
        </w:tc>
        <w:tc>
          <w:tcPr>
            <w:tcW w:w="625" w:type="pct"/>
          </w:tcPr>
          <w:p w:rsidR="009F42A7" w:rsidRDefault="00444DAD">
            <w:r>
              <w:t xml:space="preserve">2, 3 </w:t>
            </w:r>
          </w:p>
        </w:tc>
        <w:tc>
          <w:tcPr>
            <w:tcW w:w="625" w:type="pct"/>
          </w:tcPr>
          <w:p w:rsidR="009F42A7" w:rsidRDefault="009F42A7"/>
        </w:tc>
        <w:tc>
          <w:tcPr>
            <w:tcW w:w="1875" w:type="pct"/>
            <w:vMerge/>
          </w:tcPr>
          <w:p w:rsidR="009F42A7" w:rsidRDefault="009F42A7"/>
        </w:tc>
      </w:tr>
    </w:tbl>
    <w:p w:rsidR="009F42A7" w:rsidRDefault="009F42A7"/>
    <w:p w:rsidR="009F42A7" w:rsidRDefault="00444DAD">
      <w:pPr>
        <w:pStyle w:val="List3"/>
      </w:pPr>
      <w:r>
        <w:t>a.</w:t>
      </w:r>
      <w:r>
        <w:tab/>
      </w:r>
      <w:r>
        <w:t xml:space="preserve">The maximum residential density shall be 15 units and a minimum density of eight units per net acre of residential uses. </w:t>
      </w:r>
    </w:p>
    <w:p w:rsidR="009F42A7" w:rsidRDefault="00444DAD">
      <w:pPr>
        <w:pStyle w:val="List3"/>
      </w:pPr>
      <w:r>
        <w:t>b.</w:t>
      </w:r>
      <w:r>
        <w:tab/>
        <w:t xml:space="preserve">No front facade of a residential dwelling shall face onto an arterial street within a neighborhood. </w:t>
      </w:r>
    </w:p>
    <w:p w:rsidR="009F42A7" w:rsidRDefault="00444DAD">
      <w:pPr>
        <w:pStyle w:val="List3"/>
      </w:pPr>
      <w:r>
        <w:t>c.</w:t>
      </w:r>
      <w:r>
        <w:tab/>
        <w:t>When a residential use is d</w:t>
      </w:r>
      <w:r>
        <w:t xml:space="preserve">eveloped on a double frontage lot with a major thoroughfare as the rear lot line, a masonry wall shall be installed with streetscape standards found in the non-residential section of the San Jacinto overlay district. </w:t>
      </w:r>
    </w:p>
    <w:p w:rsidR="009F42A7" w:rsidRDefault="00444DAD">
      <w:pPr>
        <w:pStyle w:val="List3"/>
      </w:pPr>
      <w:r>
        <w:t>d.</w:t>
      </w:r>
      <w:r>
        <w:tab/>
        <w:t xml:space="preserve">Compatibility buffer one, found in </w:t>
      </w:r>
      <w:r>
        <w:t xml:space="preserve">subsection (j), shall be installed when a residential use is developed adjacent to an existing commercial use that has not previously installed an opaque screening. </w:t>
      </w:r>
    </w:p>
    <w:p w:rsidR="009F42A7" w:rsidRDefault="00444DAD">
      <w:pPr>
        <w:pStyle w:val="List3"/>
      </w:pPr>
      <w:r>
        <w:t>e.</w:t>
      </w:r>
      <w:r>
        <w:tab/>
        <w:t>Architectural, masonry, and design requirements shall comply with article 3, division 4</w:t>
      </w:r>
      <w:r>
        <w:t xml:space="preserve"> of the ULDC. </w:t>
      </w:r>
    </w:p>
    <w:p w:rsidR="009F42A7" w:rsidRDefault="00444DAD">
      <w:pPr>
        <w:pStyle w:val="List2"/>
      </w:pPr>
      <w:r>
        <w:t>(5)</w:t>
      </w:r>
      <w:r>
        <w:tab/>
      </w:r>
      <w:r>
        <w:rPr>
          <w:i/>
        </w:rPr>
        <w:t>Property development standards.</w:t>
      </w:r>
      <w:r>
        <w:t xml:space="preserve"> The following residential development standards shall be applicable within the San Jacinto overlay district and shall control over those of the underlying zoning district: </w:t>
      </w:r>
    </w:p>
    <w:tbl>
      <w:tblPr>
        <w:tblStyle w:val="Table1ad6605f4-34bc-46af-8dc3-b8a7116cbd1e"/>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36"/>
        <w:gridCol w:w="1868"/>
        <w:gridCol w:w="1868"/>
        <w:gridCol w:w="1868"/>
      </w:tblGrid>
      <w:tr w:rsidR="009F42A7">
        <w:tc>
          <w:tcPr>
            <w:tcW w:w="2000" w:type="pct"/>
            <w:shd w:val="clear" w:color="auto" w:fill="696969"/>
          </w:tcPr>
          <w:p w:rsidR="009F42A7" w:rsidRDefault="00444DAD">
            <w:pPr>
              <w:jc w:val="center"/>
            </w:pPr>
            <w:r>
              <w:rPr>
                <w:b/>
                <w:color w:val="FFFFFF"/>
              </w:rPr>
              <w:t>Residential Development Standard</w:t>
            </w:r>
            <w:r>
              <w:rPr>
                <w:b/>
                <w:color w:val="FFFFFF"/>
              </w:rPr>
              <w:t>s</w:t>
            </w:r>
            <w:r>
              <w:t xml:space="preserve"> </w:t>
            </w:r>
          </w:p>
        </w:tc>
        <w:tc>
          <w:tcPr>
            <w:tcW w:w="1000" w:type="pct"/>
            <w:shd w:val="clear" w:color="auto" w:fill="696969"/>
          </w:tcPr>
          <w:p w:rsidR="009F42A7" w:rsidRDefault="00444DAD">
            <w:pPr>
              <w:jc w:val="center"/>
            </w:pPr>
            <w:r>
              <w:rPr>
                <w:b/>
                <w:color w:val="FFFFFF"/>
              </w:rPr>
              <w:t>T1, T2, and T3</w:t>
            </w:r>
            <w:r>
              <w:t xml:space="preserve"> </w:t>
            </w:r>
          </w:p>
        </w:tc>
        <w:tc>
          <w:tcPr>
            <w:tcW w:w="2000" w:type="pct"/>
            <w:gridSpan w:val="2"/>
            <w:shd w:val="clear" w:color="auto" w:fill="696969"/>
          </w:tcPr>
          <w:p w:rsidR="009F42A7" w:rsidRDefault="00444DAD">
            <w:pPr>
              <w:jc w:val="center"/>
            </w:pPr>
            <w:r>
              <w:rPr>
                <w:b/>
                <w:color w:val="FFFFFF"/>
              </w:rPr>
              <w:t>Additional Regulations</w:t>
            </w:r>
            <w:r>
              <w:t xml:space="preserve"> </w:t>
            </w:r>
          </w:p>
        </w:tc>
      </w:tr>
      <w:tr w:rsidR="009F42A7">
        <w:tc>
          <w:tcPr>
            <w:tcW w:w="2000" w:type="pct"/>
          </w:tcPr>
          <w:p w:rsidR="009F42A7" w:rsidRDefault="00444DAD">
            <w:pPr>
              <w:jc w:val="center"/>
            </w:pPr>
            <w:r>
              <w:t xml:space="preserve">Internal block length (min/max) </w:t>
            </w:r>
          </w:p>
        </w:tc>
        <w:tc>
          <w:tcPr>
            <w:tcW w:w="1000" w:type="pct"/>
          </w:tcPr>
          <w:p w:rsidR="009F42A7" w:rsidRDefault="00444DAD">
            <w:pPr>
              <w:jc w:val="center"/>
            </w:pPr>
            <w:r>
              <w:t xml:space="preserve">300—700 ft. </w:t>
            </w:r>
          </w:p>
        </w:tc>
        <w:tc>
          <w:tcPr>
            <w:tcW w:w="2000" w:type="pct"/>
            <w:gridSpan w:val="2"/>
          </w:tcPr>
          <w:p w:rsidR="009F42A7" w:rsidRDefault="009F42A7">
            <w:pPr>
              <w:jc w:val="center"/>
            </w:pPr>
          </w:p>
        </w:tc>
      </w:tr>
      <w:tr w:rsidR="009F42A7">
        <w:tc>
          <w:tcPr>
            <w:tcW w:w="2000" w:type="pct"/>
          </w:tcPr>
          <w:p w:rsidR="009F42A7" w:rsidRDefault="00444DAD">
            <w:pPr>
              <w:jc w:val="center"/>
            </w:pPr>
            <w:r>
              <w:t xml:space="preserve">Minimum lot area (sq. ft.) </w:t>
            </w:r>
          </w:p>
        </w:tc>
        <w:tc>
          <w:tcPr>
            <w:tcW w:w="1000" w:type="pct"/>
          </w:tcPr>
          <w:p w:rsidR="009F42A7" w:rsidRDefault="00444DAD">
            <w:pPr>
              <w:jc w:val="center"/>
            </w:pPr>
            <w:r>
              <w:t xml:space="preserve">See article II, table 2-1 in the ULDC </w:t>
            </w:r>
          </w:p>
        </w:tc>
        <w:tc>
          <w:tcPr>
            <w:tcW w:w="2000" w:type="pct"/>
            <w:gridSpan w:val="2"/>
          </w:tcPr>
          <w:p w:rsidR="009F42A7" w:rsidRDefault="009F42A7">
            <w:pPr>
              <w:jc w:val="center"/>
            </w:pPr>
          </w:p>
        </w:tc>
      </w:tr>
      <w:tr w:rsidR="009F42A7">
        <w:tc>
          <w:tcPr>
            <w:tcW w:w="2000" w:type="pct"/>
          </w:tcPr>
          <w:p w:rsidR="009F42A7" w:rsidRDefault="00444DAD">
            <w:pPr>
              <w:jc w:val="center"/>
            </w:pPr>
            <w:r>
              <w:t xml:space="preserve">Site coverage </w:t>
            </w:r>
          </w:p>
        </w:tc>
        <w:tc>
          <w:tcPr>
            <w:tcW w:w="1000" w:type="pct"/>
          </w:tcPr>
          <w:p w:rsidR="009F42A7" w:rsidRDefault="00444DAD">
            <w:pPr>
              <w:jc w:val="center"/>
            </w:pPr>
            <w:r>
              <w:t xml:space="preserve">80% </w:t>
            </w:r>
          </w:p>
        </w:tc>
        <w:tc>
          <w:tcPr>
            <w:tcW w:w="2000" w:type="pct"/>
            <w:gridSpan w:val="2"/>
          </w:tcPr>
          <w:p w:rsidR="009F42A7" w:rsidRDefault="009F42A7">
            <w:pPr>
              <w:jc w:val="center"/>
            </w:pPr>
          </w:p>
        </w:tc>
      </w:tr>
      <w:tr w:rsidR="009F42A7">
        <w:tc>
          <w:tcPr>
            <w:tcW w:w="5000" w:type="pct"/>
            <w:gridSpan w:val="4"/>
          </w:tcPr>
          <w:p w:rsidR="009F42A7" w:rsidRDefault="00444DAD">
            <w:pPr>
              <w:jc w:val="center"/>
            </w:pPr>
            <w:r>
              <w:rPr>
                <w:b/>
              </w:rPr>
              <w:t>Minimum Lot Dimensions</w:t>
            </w:r>
            <w:r>
              <w:br/>
            </w:r>
          </w:p>
        </w:tc>
      </w:tr>
      <w:tr w:rsidR="009F42A7">
        <w:tc>
          <w:tcPr>
            <w:tcW w:w="2000" w:type="pct"/>
            <w:vMerge w:val="restart"/>
          </w:tcPr>
          <w:p w:rsidR="009F42A7" w:rsidRDefault="00444DAD">
            <w:pPr>
              <w:jc w:val="center"/>
            </w:pPr>
            <w:r>
              <w:t xml:space="preserve">Frontage </w:t>
            </w:r>
          </w:p>
        </w:tc>
        <w:tc>
          <w:tcPr>
            <w:tcW w:w="1000" w:type="pct"/>
          </w:tcPr>
          <w:p w:rsidR="009F42A7" w:rsidRDefault="00444DAD">
            <w:pPr>
              <w:jc w:val="center"/>
            </w:pPr>
            <w:r>
              <w:t xml:space="preserve">Single-family </w:t>
            </w:r>
            <w:r>
              <w:br/>
              <w:t xml:space="preserve">attached </w:t>
            </w:r>
          </w:p>
        </w:tc>
        <w:tc>
          <w:tcPr>
            <w:tcW w:w="1000" w:type="pct"/>
          </w:tcPr>
          <w:p w:rsidR="009F42A7" w:rsidRDefault="00444DAD">
            <w:pPr>
              <w:jc w:val="center"/>
            </w:pPr>
            <w:r>
              <w:t xml:space="preserve">Multi-family </w:t>
            </w:r>
            <w:r>
              <w:br/>
              <w:t xml:space="preserve">dwellings </w:t>
            </w:r>
          </w:p>
        </w:tc>
        <w:tc>
          <w:tcPr>
            <w:tcW w:w="1000" w:type="pct"/>
            <w:vMerge w:val="restart"/>
          </w:tcPr>
          <w:p w:rsidR="009F42A7" w:rsidRDefault="00444DAD">
            <w:pPr>
              <w:jc w:val="center"/>
            </w:pPr>
            <w:r>
              <w:t xml:space="preserve">Minimum frontage shall also determine the minimum lot width. </w:t>
            </w:r>
          </w:p>
        </w:tc>
      </w:tr>
      <w:tr w:rsidR="009F42A7">
        <w:tc>
          <w:tcPr>
            <w:tcW w:w="2000" w:type="pct"/>
            <w:vMerge/>
          </w:tcPr>
          <w:p w:rsidR="009F42A7" w:rsidRDefault="009F42A7"/>
        </w:tc>
        <w:tc>
          <w:tcPr>
            <w:tcW w:w="1000" w:type="pct"/>
          </w:tcPr>
          <w:p w:rsidR="009F42A7" w:rsidRDefault="00444DAD">
            <w:pPr>
              <w:jc w:val="center"/>
            </w:pPr>
            <w:r>
              <w:t xml:space="preserve">25 ft. </w:t>
            </w:r>
          </w:p>
        </w:tc>
        <w:tc>
          <w:tcPr>
            <w:tcW w:w="1000" w:type="pct"/>
          </w:tcPr>
          <w:p w:rsidR="009F42A7" w:rsidRDefault="00444DAD">
            <w:pPr>
              <w:jc w:val="center"/>
            </w:pPr>
            <w:r>
              <w:t xml:space="preserve">50 ft. </w:t>
            </w:r>
          </w:p>
        </w:tc>
        <w:tc>
          <w:tcPr>
            <w:tcW w:w="1000" w:type="pct"/>
            <w:vMerge/>
          </w:tcPr>
          <w:p w:rsidR="009F42A7" w:rsidRDefault="009F42A7"/>
        </w:tc>
      </w:tr>
      <w:tr w:rsidR="009F42A7">
        <w:tc>
          <w:tcPr>
            <w:tcW w:w="5000" w:type="pct"/>
            <w:gridSpan w:val="4"/>
          </w:tcPr>
          <w:p w:rsidR="009F42A7" w:rsidRDefault="00444DAD">
            <w:pPr>
              <w:jc w:val="center"/>
            </w:pPr>
            <w:r>
              <w:rPr>
                <w:b/>
              </w:rPr>
              <w:t>Building Form and Location</w:t>
            </w:r>
            <w:r>
              <w:br/>
            </w:r>
          </w:p>
        </w:tc>
      </w:tr>
      <w:tr w:rsidR="009F42A7">
        <w:tc>
          <w:tcPr>
            <w:tcW w:w="2000" w:type="pct"/>
          </w:tcPr>
          <w:p w:rsidR="009F42A7" w:rsidRDefault="00444DAD">
            <w:pPr>
              <w:jc w:val="center"/>
            </w:pPr>
            <w:r>
              <w:t xml:space="preserve">Maximum building height </w:t>
            </w:r>
          </w:p>
        </w:tc>
        <w:tc>
          <w:tcPr>
            <w:tcW w:w="1000" w:type="pct"/>
          </w:tcPr>
          <w:p w:rsidR="009F42A7" w:rsidRDefault="00444DAD">
            <w:pPr>
              <w:jc w:val="center"/>
            </w:pPr>
            <w:r>
              <w:t xml:space="preserve">35 ft. </w:t>
            </w:r>
          </w:p>
        </w:tc>
        <w:tc>
          <w:tcPr>
            <w:tcW w:w="2000" w:type="pct"/>
            <w:gridSpan w:val="2"/>
          </w:tcPr>
          <w:p w:rsidR="009F42A7" w:rsidRDefault="009F42A7">
            <w:pPr>
              <w:jc w:val="center"/>
            </w:pPr>
          </w:p>
        </w:tc>
      </w:tr>
      <w:tr w:rsidR="009F42A7">
        <w:tc>
          <w:tcPr>
            <w:tcW w:w="2000" w:type="pct"/>
          </w:tcPr>
          <w:p w:rsidR="009F42A7" w:rsidRDefault="00444DAD">
            <w:pPr>
              <w:jc w:val="center"/>
            </w:pPr>
            <w:r>
              <w:t xml:space="preserve">Minimum building setbacks </w:t>
            </w:r>
          </w:p>
        </w:tc>
        <w:tc>
          <w:tcPr>
            <w:tcW w:w="1000" w:type="pct"/>
          </w:tcPr>
          <w:p w:rsidR="009F42A7" w:rsidRDefault="00444DAD">
            <w:pPr>
              <w:jc w:val="center"/>
            </w:pPr>
            <w:r>
              <w:t xml:space="preserve">20 ft. </w:t>
            </w:r>
          </w:p>
        </w:tc>
        <w:tc>
          <w:tcPr>
            <w:tcW w:w="2000" w:type="pct"/>
            <w:gridSpan w:val="2"/>
          </w:tcPr>
          <w:p w:rsidR="009F42A7" w:rsidRDefault="009F42A7">
            <w:pPr>
              <w:jc w:val="center"/>
            </w:pPr>
          </w:p>
        </w:tc>
      </w:tr>
      <w:tr w:rsidR="009F42A7">
        <w:tc>
          <w:tcPr>
            <w:tcW w:w="2000" w:type="pct"/>
          </w:tcPr>
          <w:p w:rsidR="009F42A7" w:rsidRDefault="00444DAD">
            <w:pPr>
              <w:jc w:val="center"/>
            </w:pPr>
            <w:r>
              <w:t xml:space="preserve">Maximum front building setback </w:t>
            </w:r>
          </w:p>
        </w:tc>
        <w:tc>
          <w:tcPr>
            <w:tcW w:w="1000" w:type="pct"/>
          </w:tcPr>
          <w:p w:rsidR="009F42A7" w:rsidRDefault="00444DAD">
            <w:pPr>
              <w:jc w:val="center"/>
            </w:pPr>
            <w:r>
              <w:t xml:space="preserve">25 ft. </w:t>
            </w:r>
          </w:p>
        </w:tc>
        <w:tc>
          <w:tcPr>
            <w:tcW w:w="2000" w:type="pct"/>
            <w:gridSpan w:val="2"/>
          </w:tcPr>
          <w:p w:rsidR="009F42A7" w:rsidRDefault="009F42A7">
            <w:pPr>
              <w:jc w:val="center"/>
            </w:pPr>
          </w:p>
        </w:tc>
      </w:tr>
      <w:tr w:rsidR="009F42A7">
        <w:tc>
          <w:tcPr>
            <w:tcW w:w="5000" w:type="pct"/>
            <w:gridSpan w:val="4"/>
          </w:tcPr>
          <w:p w:rsidR="009F42A7" w:rsidRDefault="00444DAD">
            <w:pPr>
              <w:jc w:val="center"/>
            </w:pPr>
            <w:r>
              <w:rPr>
                <w:b/>
              </w:rPr>
              <w:t>Minimum Side Setback</w:t>
            </w:r>
            <w:r>
              <w:br/>
            </w:r>
          </w:p>
        </w:tc>
      </w:tr>
      <w:tr w:rsidR="009F42A7">
        <w:tc>
          <w:tcPr>
            <w:tcW w:w="2000" w:type="pct"/>
          </w:tcPr>
          <w:p w:rsidR="009F42A7" w:rsidRDefault="00444DAD">
            <w:pPr>
              <w:jc w:val="center"/>
            </w:pPr>
            <w:r>
              <w:lastRenderedPageBreak/>
              <w:t xml:space="preserve">Interior side setback </w:t>
            </w:r>
          </w:p>
        </w:tc>
        <w:tc>
          <w:tcPr>
            <w:tcW w:w="1000" w:type="pct"/>
          </w:tcPr>
          <w:p w:rsidR="009F42A7" w:rsidRDefault="00444DAD">
            <w:pPr>
              <w:jc w:val="center"/>
            </w:pPr>
            <w:r>
              <w:t xml:space="preserve">7.5 ft. </w:t>
            </w:r>
          </w:p>
        </w:tc>
        <w:tc>
          <w:tcPr>
            <w:tcW w:w="2000" w:type="pct"/>
            <w:gridSpan w:val="2"/>
          </w:tcPr>
          <w:p w:rsidR="009F42A7" w:rsidRDefault="00444DAD">
            <w:pPr>
              <w:jc w:val="center"/>
            </w:pPr>
            <w:r>
              <w:t xml:space="preserve">Single-family attached dwellings </w:t>
            </w:r>
          </w:p>
        </w:tc>
      </w:tr>
      <w:tr w:rsidR="009F42A7">
        <w:tc>
          <w:tcPr>
            <w:tcW w:w="2000" w:type="pct"/>
          </w:tcPr>
          <w:p w:rsidR="009F42A7" w:rsidRDefault="00444DAD">
            <w:pPr>
              <w:jc w:val="center"/>
            </w:pPr>
            <w:r>
              <w:t xml:space="preserve">Street-side setback (ft.) </w:t>
            </w:r>
          </w:p>
        </w:tc>
        <w:tc>
          <w:tcPr>
            <w:tcW w:w="1000" w:type="pct"/>
          </w:tcPr>
          <w:p w:rsidR="009F42A7" w:rsidRDefault="00444DAD">
            <w:pPr>
              <w:jc w:val="center"/>
            </w:pPr>
            <w:r>
              <w:t xml:space="preserve">Same as front </w:t>
            </w:r>
          </w:p>
        </w:tc>
        <w:tc>
          <w:tcPr>
            <w:tcW w:w="2000" w:type="pct"/>
            <w:gridSpan w:val="2"/>
          </w:tcPr>
          <w:p w:rsidR="009F42A7" w:rsidRDefault="009F42A7">
            <w:pPr>
              <w:jc w:val="center"/>
            </w:pPr>
          </w:p>
        </w:tc>
      </w:tr>
      <w:tr w:rsidR="009F42A7">
        <w:tc>
          <w:tcPr>
            <w:tcW w:w="2000" w:type="pct"/>
          </w:tcPr>
          <w:p w:rsidR="009F42A7" w:rsidRDefault="00444DAD">
            <w:pPr>
              <w:jc w:val="center"/>
            </w:pPr>
            <w:r>
              <w:t xml:space="preserve">Minimum rear setback </w:t>
            </w:r>
          </w:p>
        </w:tc>
        <w:tc>
          <w:tcPr>
            <w:tcW w:w="1000" w:type="pct"/>
          </w:tcPr>
          <w:p w:rsidR="009F42A7" w:rsidRDefault="00444DAD">
            <w:pPr>
              <w:jc w:val="center"/>
            </w:pPr>
            <w:r>
              <w:t xml:space="preserve">10 ft. </w:t>
            </w:r>
          </w:p>
        </w:tc>
        <w:tc>
          <w:tcPr>
            <w:tcW w:w="2000" w:type="pct"/>
            <w:gridSpan w:val="2"/>
          </w:tcPr>
          <w:p w:rsidR="009F42A7" w:rsidRDefault="009F42A7">
            <w:pPr>
              <w:jc w:val="center"/>
            </w:pPr>
          </w:p>
        </w:tc>
      </w:tr>
    </w:tbl>
    <w:p w:rsidR="009F42A7" w:rsidRDefault="009F42A7"/>
    <w:p w:rsidR="009F42A7" w:rsidRDefault="00444DAD">
      <w:pPr>
        <w:pStyle w:val="HistoryNote"/>
      </w:pPr>
      <w:proofErr w:type="gramStart"/>
      <w:r>
        <w:t>( Ord.</w:t>
      </w:r>
      <w:proofErr w:type="gramEnd"/>
      <w:r>
        <w:t xml:space="preserve"> No. 14,029 , § 1, 3-14-19; Ord. No. 14,380 , §§ 1, 2, 5-14-20)</w:t>
      </w:r>
    </w:p>
    <w:p w:rsidR="009F42A7" w:rsidRDefault="009F42A7">
      <w:pPr>
        <w:spacing w:before="0" w:after="0"/>
      </w:pPr>
    </w:p>
    <w:sectPr w:rsidR="009F42A7">
      <w:headerReference w:type="default" r:id="rId15"/>
      <w:footerReference w:type="default" r:id="rId1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44DAD">
      <w:pPr>
        <w:spacing w:before="0" w:after="0"/>
      </w:pPr>
      <w:r>
        <w:separator/>
      </w:r>
    </w:p>
  </w:endnote>
  <w:endnote w:type="continuationSeparator" w:id="0">
    <w:p w:rsidR="00000000" w:rsidRDefault="00444DA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2A7" w:rsidRDefault="009F42A7">
    <w:pPr>
      <w:pStyle w:val="FooterCenter"/>
      <w:pBdr>
        <w:bottom w:val="single" w:sz="4" w:space="0" w:color="auto"/>
      </w:pBdr>
    </w:pPr>
  </w:p>
  <w:p w:rsidR="009F42A7" w:rsidRDefault="00444DAD">
    <w:pPr>
      <w:pStyle w:val="FooterLeft"/>
    </w:pPr>
    <w:r>
      <w:tab/>
    </w:r>
    <w:r>
      <w:rPr>
        <w:rFonts w:ascii="Consolas" w:eastAsia="Consolas" w:hAnsi="Consolas" w:cs="Consolas"/>
        <w:sz w:val="12"/>
      </w:rPr>
      <w:t xml:space="preserve">   Created: 2021-08-26 08:22:55 [EST]</w:t>
    </w:r>
  </w:p>
  <w:p w:rsidR="009F42A7" w:rsidRDefault="00444DAD">
    <w:pPr>
      <w:pStyle w:val="FooterLeft"/>
    </w:pPr>
    <w:r>
      <w:t>(Supp. No. 73, Update 2)</w:t>
    </w:r>
  </w:p>
  <w:p w:rsidR="009F42A7" w:rsidRDefault="00444DAD">
    <w:pPr>
      <w:pStyle w:val="FooterCenter"/>
    </w:pPr>
    <w:r>
      <w:cr/>
      <w:t xml:space="preserve">Page </w:t>
    </w:r>
    <w:r>
      <w:fldChar w:fldCharType="begin"/>
    </w:r>
    <w:r>
      <w:instrText>PAGE \* MERGEFORMAT</w:instrText>
    </w:r>
    <w:r>
      <w:fldChar w:fldCharType="separate"/>
    </w:r>
    <w:r>
      <w:rPr>
        <w:noProof/>
      </w:rPr>
      <w:t>1</w:t>
    </w:r>
    <w:r>
      <w:fldChar w:fldCharType="end"/>
    </w:r>
    <w:r>
      <w:t xml:space="preserve"> of </w:t>
    </w:r>
    <w:r>
      <w:fldChar w:fldCharType="begin"/>
    </w:r>
    <w:r>
      <w:instrText>NUMPAGES \* MERGEFORMAT</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44DAD">
      <w:pPr>
        <w:spacing w:before="0" w:after="0"/>
      </w:pPr>
      <w:r>
        <w:separator/>
      </w:r>
    </w:p>
  </w:footnote>
  <w:footnote w:type="continuationSeparator" w:id="0">
    <w:p w:rsidR="00000000" w:rsidRDefault="00444DA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2A7" w:rsidRDefault="009F42A7">
    <w:pPr>
      <w:pStyle w:val="HeaderCenter"/>
    </w:pPr>
  </w:p>
  <w:p w:rsidR="009F42A7" w:rsidRDefault="009F42A7">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multilevel"/>
    <w:tmpl w:val="D11E1FB0"/>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A2E49A1C"/>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92CE83CC"/>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24622F72"/>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8AB6E44E"/>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E3828610"/>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895294A4"/>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7414A8B4"/>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B388126E"/>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2BF9923"/>
    <w:multiLevelType w:val="multilevel"/>
    <w:tmpl w:val="2B1ACA34"/>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2A7"/>
    <w:rsid w:val="00444DAD"/>
    <w:rsid w:val="009F4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1B92D-53D4-495C-972E-8EEE13B2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styleId="List2">
    <w:name w:val="List 2"/>
    <w:basedOn w:val="List1"/>
    <w:uiPriority w:val="5"/>
    <w:qFormat/>
    <w:pPr>
      <w:ind w:left="950"/>
    </w:pPr>
  </w:style>
  <w:style w:type="paragraph" w:customStyle="1" w:styleId="Paragraph1">
    <w:name w:val="Paragraph 1"/>
    <w:basedOn w:val="Normal"/>
    <w:uiPriority w:val="7"/>
    <w:qFormat/>
    <w:pPr>
      <w:ind w:firstLine="475"/>
    </w:pPr>
  </w:style>
  <w:style w:type="paragraph" w:customStyle="1" w:styleId="Hang2">
    <w:name w:val="Hang 2"/>
    <w:basedOn w:val="Hang1"/>
    <w:uiPriority w:val="8"/>
    <w:unhideWhenUsed/>
    <w:qFormat/>
    <w:pPr>
      <w:ind w:left="950"/>
    </w:pPr>
  </w:style>
  <w:style w:type="paragraph" w:customStyle="1" w:styleId="Block1">
    <w:name w:val="Block 1"/>
    <w:basedOn w:val="Normal"/>
    <w:uiPriority w:val="3"/>
    <w:qFormat/>
  </w:style>
  <w:style w:type="paragraph" w:customStyle="1" w:styleId="ImageCaptionAboveLeft">
    <w:name w:val="Image Caption Above Left"/>
    <w:basedOn w:val="Block1"/>
    <w:next w:val="Block1"/>
    <w:qFormat/>
    <w:pPr>
      <w:keepNext/>
    </w:pPr>
    <w:rPr>
      <w:b/>
    </w:rPr>
  </w:style>
  <w:style w:type="paragraph" w:customStyle="1" w:styleId="ImageLeft">
    <w:name w:val="Image Left"/>
    <w:next w:val="Block1"/>
    <w:qFormat/>
    <w:pPr>
      <w:jc w:val="left"/>
    </w:pPr>
    <w:rPr>
      <w:rFonts w:ascii="Calibri" w:hAnsi="Calibri"/>
    </w:rPr>
  </w:style>
  <w:style w:type="paragraph" w:styleId="List3">
    <w:name w:val="List 3"/>
    <w:basedOn w:val="List2"/>
    <w:uiPriority w:val="5"/>
    <w:unhideWhenUsed/>
    <w:qFormat/>
    <w:pPr>
      <w:ind w:left="1425"/>
    </w:pPr>
  </w:style>
  <w:style w:type="table" w:customStyle="1" w:styleId="Table1">
    <w:name w:val="Table 1"/>
    <w:basedOn w:val="TableNormal"/>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c1bcf17c-a7f4-4b51-9e5d-02925c17d2ad">
    <w:name w:val="Normal Table_c1bcf17c-a7f4-4b51-9e5d-02925c17d2ad"/>
    <w:uiPriority w:val="99"/>
    <w:semiHidden/>
    <w:unhideWhenUsed/>
    <w:tblPr>
      <w:tblInd w:w="0" w:type="dxa"/>
      <w:tblCellMar>
        <w:top w:w="0" w:type="dxa"/>
        <w:left w:w="108" w:type="dxa"/>
        <w:bottom w:w="0" w:type="dxa"/>
        <w:right w:w="108" w:type="dxa"/>
      </w:tblCellMar>
    </w:tblPr>
  </w:style>
  <w:style w:type="table" w:customStyle="1" w:styleId="Table12b246de2-a948-424e-ba49-b133bb99ceca">
    <w:name w:val="Table 1_2b246de2-a948-424e-ba49-b133bb99ceca"/>
    <w:basedOn w:val="NormalTablec1bcf17c-a7f4-4b51-9e5d-02925c17d2a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table" w:customStyle="1" w:styleId="NormalTableeb8b2870-adde-4fbc-ae0b-5e4a73e3b87b">
    <w:name w:val="Normal Table_eb8b2870-adde-4fbc-ae0b-5e4a73e3b87b"/>
    <w:uiPriority w:val="99"/>
    <w:semiHidden/>
    <w:unhideWhenUsed/>
    <w:tblPr>
      <w:tblInd w:w="0" w:type="dxa"/>
      <w:tblCellMar>
        <w:top w:w="0" w:type="dxa"/>
        <w:left w:w="108" w:type="dxa"/>
        <w:bottom w:w="0" w:type="dxa"/>
        <w:right w:w="108" w:type="dxa"/>
      </w:tblCellMar>
    </w:tblPr>
  </w:style>
  <w:style w:type="table" w:customStyle="1" w:styleId="Table1c59ccc9d-c5b1-477f-9b32-d50a60331c06">
    <w:name w:val="Table 1_c59ccc9d-c5b1-477f-9b32-d50a60331c06"/>
    <w:basedOn w:val="NormalTableeb8b2870-adde-4fbc-ae0b-5e4a73e3b87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table" w:customStyle="1" w:styleId="NormalTable86f86a3b-eac1-42d6-83b9-9f1b4f13ff41">
    <w:name w:val="Normal Table_86f86a3b-eac1-42d6-83b9-9f1b4f13ff41"/>
    <w:uiPriority w:val="99"/>
    <w:semiHidden/>
    <w:unhideWhenUsed/>
    <w:tblPr>
      <w:tblInd w:w="0" w:type="dxa"/>
      <w:tblCellMar>
        <w:top w:w="0" w:type="dxa"/>
        <w:left w:w="108" w:type="dxa"/>
        <w:bottom w:w="0" w:type="dxa"/>
        <w:right w:w="108" w:type="dxa"/>
      </w:tblCellMar>
    </w:tblPr>
  </w:style>
  <w:style w:type="table" w:customStyle="1" w:styleId="Table135bcd057-f371-4c25-911e-dfe8a356800a">
    <w:name w:val="Table 1_35bcd057-f371-4c25-911e-dfe8a356800a"/>
    <w:basedOn w:val="NormalTable86f86a3b-eac1-42d6-83b9-9f1b4f13ff4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af54fbc7-7012-4001-8879-304d361ee532">
    <w:name w:val="Normal Table_af54fbc7-7012-4001-8879-304d361ee532"/>
    <w:uiPriority w:val="99"/>
    <w:semiHidden/>
    <w:unhideWhenUsed/>
    <w:tblPr>
      <w:tblInd w:w="0" w:type="dxa"/>
      <w:tblCellMar>
        <w:top w:w="0" w:type="dxa"/>
        <w:left w:w="108" w:type="dxa"/>
        <w:bottom w:w="0" w:type="dxa"/>
        <w:right w:w="108" w:type="dxa"/>
      </w:tblCellMar>
    </w:tblPr>
  </w:style>
  <w:style w:type="table" w:customStyle="1" w:styleId="Table1f5540e59-5817-4feb-bc45-f4e790f97652">
    <w:name w:val="Table 1_f5540e59-5817-4feb-bc45-f4e790f97652"/>
    <w:basedOn w:val="NormalTableaf54fbc7-7012-4001-8879-304d361ee53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98fc5805-9db1-4caf-bca8-e9a710bf109a">
    <w:name w:val="Normal Table_98fc5805-9db1-4caf-bca8-e9a710bf109a"/>
    <w:uiPriority w:val="99"/>
    <w:semiHidden/>
    <w:unhideWhenUsed/>
    <w:tblPr>
      <w:tblInd w:w="0" w:type="dxa"/>
      <w:tblCellMar>
        <w:top w:w="0" w:type="dxa"/>
        <w:left w:w="108" w:type="dxa"/>
        <w:bottom w:w="0" w:type="dxa"/>
        <w:right w:w="108" w:type="dxa"/>
      </w:tblCellMar>
    </w:tblPr>
  </w:style>
  <w:style w:type="table" w:customStyle="1" w:styleId="Table1224eaa88-a780-46b1-8397-1eb3180d25ab">
    <w:name w:val="Table 1_224eaa88-a780-46b1-8397-1eb3180d25ab"/>
    <w:basedOn w:val="NormalTable98fc5805-9db1-4caf-bca8-e9a710bf109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493b0880-4dd4-448f-b5aa-72931bacead5">
    <w:name w:val="Normal Table_493b0880-4dd4-448f-b5aa-72931bacead5"/>
    <w:uiPriority w:val="99"/>
    <w:semiHidden/>
    <w:unhideWhenUsed/>
    <w:tblPr>
      <w:tblInd w:w="0" w:type="dxa"/>
      <w:tblCellMar>
        <w:top w:w="0" w:type="dxa"/>
        <w:left w:w="108" w:type="dxa"/>
        <w:bottom w:w="0" w:type="dxa"/>
        <w:right w:w="108" w:type="dxa"/>
      </w:tblCellMar>
    </w:tblPr>
  </w:style>
  <w:style w:type="table" w:customStyle="1" w:styleId="Table1ad6605f4-34bc-46af-8dc3-b8a7116cbd1e">
    <w:name w:val="Table 1_ad6605f4-34bc-46af-8dc3-b8a7116cbd1e"/>
    <w:basedOn w:val="NormalTable493b0880-4dd4-448f-b5aa-72931bacead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customStyle="1" w:styleId="HistoryNote">
    <w:name w:val="History Note"/>
    <w:basedOn w:val="Block1"/>
    <w:next w:val="Section"/>
    <w:uiPriority w:val="2"/>
    <w:qFormat/>
    <w:pPr>
      <w:spacing w:after="24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ListParagraph2">
    <w:name w:val="List Paragraph 2"/>
    <w:basedOn w:val="List1"/>
    <w:uiPriority w:val="98"/>
    <w:semiHidden/>
    <w:unhideWhenUsed/>
    <w:qFormat/>
    <w:pPr>
      <w:ind w:left="95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5902584e-2caf-4ec4-b476-27b8143a6b6f">
    <w:name w:val="Normal Table_5902584e-2caf-4ec4-b476-27b8143a6b6f"/>
    <w:uiPriority w:val="99"/>
    <w:semiHidden/>
    <w:unhideWhenUsed/>
    <w:tblPr>
      <w:tblInd w:w="0" w:type="dxa"/>
      <w:tblCellMar>
        <w:top w:w="0" w:type="dxa"/>
        <w:left w:w="108" w:type="dxa"/>
        <w:bottom w:w="0" w:type="dxa"/>
        <w:right w:w="108" w:type="dxa"/>
      </w:tblCellMar>
    </w:tblPr>
  </w:style>
  <w:style w:type="table" w:styleId="TableGrid">
    <w:name w:val="Table Grid"/>
    <w:basedOn w:val="NormalTable5902584e-2caf-4ec4-b476-27b8143a6b6f"/>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Center">
    <w:name w:val="Image Center"/>
    <w:basedOn w:val="ImageLeft"/>
    <w:next w:val="Block1"/>
    <w:qFormat/>
    <w:pPr>
      <w:jc w:val="center"/>
    </w:p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378b7697-7891-42ac-ba7c-d2c04e8a4344">
    <w:name w:val="Normal Table_378b7697-7891-42ac-ba7c-d2c04e8a4344"/>
    <w:uiPriority w:val="99"/>
    <w:semiHidden/>
    <w:unhideWhenUsed/>
    <w:tblPr>
      <w:tblInd w:w="0" w:type="dxa"/>
      <w:tblCellMar>
        <w:top w:w="0" w:type="dxa"/>
        <w:left w:w="108" w:type="dxa"/>
        <w:bottom w:w="0" w:type="dxa"/>
        <w:right w:w="108" w:type="dxa"/>
      </w:tblCellMar>
    </w:tblPr>
  </w:style>
  <w:style w:type="table" w:customStyle="1" w:styleId="Table1ffebcc6c-f0e1-4cac-956b-231faccd18c3">
    <w:name w:val="Table 1_ffebcc6c-f0e1-4cac-956b-231faccd18c3"/>
    <w:basedOn w:val="NormalTable378b7697-7891-42ac-ba7c-d2c04e8a434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ffebcc6c-f0e1-4cac-956b-231faccd18c3"/>
    <w:uiPriority w:val="99"/>
    <w:tblPr>
      <w:tblInd w:w="590" w:type="dxa"/>
    </w:tblPr>
    <w:tcPr>
      <w:shd w:val="clear" w:color="auto" w:fill="auto"/>
    </w:tcPr>
  </w:style>
  <w:style w:type="table" w:customStyle="1" w:styleId="NormalTablec8a13fd9-2800-4d5b-9f4f-e3e4843fbb73">
    <w:name w:val="Normal Table_c8a13fd9-2800-4d5b-9f4f-e3e4843fbb73"/>
    <w:uiPriority w:val="99"/>
    <w:semiHidden/>
    <w:unhideWhenUsed/>
    <w:tblPr>
      <w:tblInd w:w="0" w:type="dxa"/>
      <w:tblCellMar>
        <w:top w:w="0" w:type="dxa"/>
        <w:left w:w="108" w:type="dxa"/>
        <w:bottom w:w="0" w:type="dxa"/>
        <w:right w:w="108" w:type="dxa"/>
      </w:tblCellMar>
    </w:tblPr>
  </w:style>
  <w:style w:type="table" w:customStyle="1" w:styleId="Table16e5e85eb-dc4c-482b-abb7-df2bb0540b05">
    <w:name w:val="Table 1_6e5e85eb-dc4c-482b-abb7-df2bb0540b05"/>
    <w:basedOn w:val="NormalTablec8a13fd9-2800-4d5b-9f4f-e3e4843fbb7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39e46c6-325b-423a-9771-593bb3bcb85d">
    <w:name w:val="Table 2_039e46c6-325b-423a-9771-593bb3bcb85d"/>
    <w:basedOn w:val="Table16e5e85eb-dc4c-482b-abb7-df2bb0540b05"/>
    <w:uiPriority w:val="99"/>
    <w:tblPr>
      <w:tblInd w:w="590" w:type="dxa"/>
    </w:tblPr>
    <w:tcPr>
      <w:shd w:val="clear" w:color="auto" w:fill="auto"/>
    </w:tcPr>
  </w:style>
  <w:style w:type="table" w:customStyle="1" w:styleId="Table3">
    <w:name w:val="Table 3"/>
    <w:basedOn w:val="Table2039e46c6-325b-423a-9771-593bb3bcb85d"/>
    <w:uiPriority w:val="99"/>
    <w:tblPr>
      <w:tblInd w:w="1066" w:type="dxa"/>
    </w:tblPr>
    <w:tcPr>
      <w:shd w:val="clear" w:color="auto" w:fill="auto"/>
    </w:tcPr>
  </w:style>
  <w:style w:type="table" w:customStyle="1" w:styleId="NormalTablef14acb8f-ac03-4475-a80b-4edb71c54d94">
    <w:name w:val="Normal Table_f14acb8f-ac03-4475-a80b-4edb71c54d94"/>
    <w:uiPriority w:val="99"/>
    <w:semiHidden/>
    <w:unhideWhenUsed/>
    <w:tblPr>
      <w:tblInd w:w="0" w:type="dxa"/>
      <w:tblCellMar>
        <w:top w:w="0" w:type="dxa"/>
        <w:left w:w="108" w:type="dxa"/>
        <w:bottom w:w="0" w:type="dxa"/>
        <w:right w:w="108" w:type="dxa"/>
      </w:tblCellMar>
    </w:tblPr>
  </w:style>
  <w:style w:type="table" w:customStyle="1" w:styleId="Table1490f2a1d-0794-4733-b579-e46ed9401efb">
    <w:name w:val="Table 1_490f2a1d-0794-4733-b579-e46ed9401efb"/>
    <w:basedOn w:val="NormalTablef14acb8f-ac03-4475-a80b-4edb71c54d9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058c507-3de5-4900-996b-257f7bd3e624">
    <w:name w:val="Table 2_b058c507-3de5-4900-996b-257f7bd3e624"/>
    <w:basedOn w:val="Table1490f2a1d-0794-4733-b579-e46ed9401efb"/>
    <w:uiPriority w:val="99"/>
    <w:tblPr>
      <w:tblInd w:w="590" w:type="dxa"/>
    </w:tblPr>
    <w:tcPr>
      <w:shd w:val="clear" w:color="auto" w:fill="auto"/>
    </w:tcPr>
  </w:style>
  <w:style w:type="table" w:customStyle="1" w:styleId="Table38245aed4-7d8f-4fcd-a0a6-4455a942e435">
    <w:name w:val="Table 3_8245aed4-7d8f-4fcd-a0a6-4455a942e435"/>
    <w:basedOn w:val="Table2b058c507-3de5-4900-996b-257f7bd3e624"/>
    <w:uiPriority w:val="99"/>
    <w:tblPr>
      <w:tblInd w:w="1066" w:type="dxa"/>
    </w:tblPr>
    <w:tcPr>
      <w:shd w:val="clear" w:color="auto" w:fill="auto"/>
    </w:tcPr>
  </w:style>
  <w:style w:type="table" w:customStyle="1" w:styleId="Table4">
    <w:name w:val="Table 4"/>
    <w:basedOn w:val="Table38245aed4-7d8f-4fcd-a0a6-4455a942e435"/>
    <w:uiPriority w:val="99"/>
    <w:tblPr>
      <w:tblInd w:w="1555" w:type="dxa"/>
    </w:tblPr>
    <w:tcPr>
      <w:shd w:val="clear" w:color="auto" w:fill="auto"/>
    </w:tcPr>
  </w:style>
  <w:style w:type="table" w:customStyle="1" w:styleId="NormalTable91189246-d31a-4ac9-9aa2-71242a4a0b7e">
    <w:name w:val="Normal Table_91189246-d31a-4ac9-9aa2-71242a4a0b7e"/>
    <w:uiPriority w:val="99"/>
    <w:semiHidden/>
    <w:unhideWhenUsed/>
    <w:tblPr>
      <w:tblInd w:w="0" w:type="dxa"/>
      <w:tblCellMar>
        <w:top w:w="0" w:type="dxa"/>
        <w:left w:w="108" w:type="dxa"/>
        <w:bottom w:w="0" w:type="dxa"/>
        <w:right w:w="108" w:type="dxa"/>
      </w:tblCellMar>
    </w:tblPr>
  </w:style>
  <w:style w:type="table" w:customStyle="1" w:styleId="Table1e1f34e52-9b35-49d1-89c6-163115ac7b53">
    <w:name w:val="Table 1_e1f34e52-9b35-49d1-89c6-163115ac7b53"/>
    <w:basedOn w:val="NormalTable91189246-d31a-4ac9-9aa2-71242a4a0b7e"/>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25fa7e00-f672-44ab-92a3-352f8be54ddd">
    <w:name w:val="Table 2_25fa7e00-f672-44ab-92a3-352f8be54ddd"/>
    <w:basedOn w:val="Table1e1f34e52-9b35-49d1-89c6-163115ac7b53"/>
    <w:uiPriority w:val="99"/>
    <w:tblPr>
      <w:tblInd w:w="590" w:type="dxa"/>
    </w:tblPr>
    <w:tcPr>
      <w:shd w:val="clear" w:color="auto" w:fill="auto"/>
    </w:tcPr>
  </w:style>
  <w:style w:type="table" w:customStyle="1" w:styleId="Table39bbf278c-3da6-4bf1-8ee2-76bcf55b9bee">
    <w:name w:val="Table 3_9bbf278c-3da6-4bf1-8ee2-76bcf55b9bee"/>
    <w:basedOn w:val="Table225fa7e00-f672-44ab-92a3-352f8be54ddd"/>
    <w:uiPriority w:val="99"/>
    <w:tblPr>
      <w:tblInd w:w="1066" w:type="dxa"/>
    </w:tblPr>
    <w:tcPr>
      <w:shd w:val="clear" w:color="auto" w:fill="auto"/>
    </w:tcPr>
  </w:style>
  <w:style w:type="table" w:customStyle="1" w:styleId="Table4239a3815-a19a-463c-8717-bb8de6bb62a5">
    <w:name w:val="Table 4_239a3815-a19a-463c-8717-bb8de6bb62a5"/>
    <w:basedOn w:val="Table39bbf278c-3da6-4bf1-8ee2-76bcf55b9bee"/>
    <w:uiPriority w:val="99"/>
    <w:tblPr>
      <w:tblInd w:w="1555" w:type="dxa"/>
    </w:tblPr>
    <w:tcPr>
      <w:shd w:val="clear" w:color="auto" w:fill="auto"/>
    </w:tcPr>
  </w:style>
  <w:style w:type="table" w:customStyle="1" w:styleId="Table5">
    <w:name w:val="Table 5"/>
    <w:basedOn w:val="Table4239a3815-a19a-463c-8717-bb8de6bb62a5"/>
    <w:uiPriority w:val="99"/>
    <w:tblPr>
      <w:tblInd w:w="2030" w:type="dxa"/>
    </w:tblPr>
    <w:tcPr>
      <w:shd w:val="clear" w:color="auto" w:fill="auto"/>
    </w:tcPr>
  </w:style>
  <w:style w:type="table" w:customStyle="1" w:styleId="NormalTablefa94861b-c7e4-4c74-a892-461ee23fe34d">
    <w:name w:val="Normal Table_fa94861b-c7e4-4c74-a892-461ee23fe34d"/>
    <w:uiPriority w:val="99"/>
    <w:semiHidden/>
    <w:unhideWhenUsed/>
    <w:tblPr>
      <w:tblInd w:w="0" w:type="dxa"/>
      <w:tblCellMar>
        <w:top w:w="0" w:type="dxa"/>
        <w:left w:w="108" w:type="dxa"/>
        <w:bottom w:w="0" w:type="dxa"/>
        <w:right w:w="108" w:type="dxa"/>
      </w:tblCellMar>
    </w:tblPr>
  </w:style>
  <w:style w:type="table" w:customStyle="1" w:styleId="Table1d507a4c3-b68e-41fd-9113-634dc8cc2895">
    <w:name w:val="Table 1_d507a4c3-b68e-41fd-9113-634dc8cc2895"/>
    <w:basedOn w:val="NormalTablefa94861b-c7e4-4c74-a892-461ee23fe34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36f7444a-57b3-4294-a07b-65311be34e70">
    <w:name w:val="Table 2_36f7444a-57b3-4294-a07b-65311be34e70"/>
    <w:basedOn w:val="Table1d507a4c3-b68e-41fd-9113-634dc8cc2895"/>
    <w:uiPriority w:val="99"/>
    <w:tblPr>
      <w:tblInd w:w="590" w:type="dxa"/>
    </w:tblPr>
    <w:tcPr>
      <w:shd w:val="clear" w:color="auto" w:fill="auto"/>
    </w:tcPr>
  </w:style>
  <w:style w:type="table" w:customStyle="1" w:styleId="Table398548fa5-3e2e-4ac9-84e7-8fb1a7ca27b7">
    <w:name w:val="Table 3_98548fa5-3e2e-4ac9-84e7-8fb1a7ca27b7"/>
    <w:basedOn w:val="Table236f7444a-57b3-4294-a07b-65311be34e70"/>
    <w:uiPriority w:val="99"/>
    <w:tblPr>
      <w:tblInd w:w="1066" w:type="dxa"/>
    </w:tblPr>
    <w:tcPr>
      <w:shd w:val="clear" w:color="auto" w:fill="auto"/>
    </w:tcPr>
  </w:style>
  <w:style w:type="table" w:customStyle="1" w:styleId="Table478c54d78-26ea-456a-bfa5-15f233e76026">
    <w:name w:val="Table 4_78c54d78-26ea-456a-bfa5-15f233e76026"/>
    <w:basedOn w:val="Table398548fa5-3e2e-4ac9-84e7-8fb1a7ca27b7"/>
    <w:uiPriority w:val="99"/>
    <w:tblPr>
      <w:tblInd w:w="1555" w:type="dxa"/>
    </w:tblPr>
    <w:tcPr>
      <w:shd w:val="clear" w:color="auto" w:fill="auto"/>
    </w:tcPr>
  </w:style>
  <w:style w:type="table" w:customStyle="1" w:styleId="Table504bf61c8-b6e8-45fd-893a-7594adc89160">
    <w:name w:val="Table 5_04bf61c8-b6e8-45fd-893a-7594adc89160"/>
    <w:basedOn w:val="Table478c54d78-26ea-456a-bfa5-15f233e76026"/>
    <w:uiPriority w:val="99"/>
    <w:tblPr>
      <w:tblInd w:w="2030" w:type="dxa"/>
    </w:tblPr>
    <w:tcPr>
      <w:shd w:val="clear" w:color="auto" w:fill="auto"/>
    </w:tcPr>
  </w:style>
  <w:style w:type="table" w:customStyle="1" w:styleId="Table6">
    <w:name w:val="Table 6"/>
    <w:basedOn w:val="Table504bf61c8-b6e8-45fd-893a-7594adc89160"/>
    <w:uiPriority w:val="99"/>
    <w:tblPr>
      <w:tblInd w:w="2506" w:type="dxa"/>
      <w:tblCellMar>
        <w:left w:w="115" w:type="dxa"/>
        <w:right w:w="115" w:type="dxa"/>
      </w:tblCellMar>
    </w:tblPr>
    <w:tcPr>
      <w:shd w:val="clear" w:color="auto" w:fill="auto"/>
    </w:tcPr>
  </w:style>
  <w:style w:type="table" w:customStyle="1" w:styleId="NormalTable86b5d350-dc2a-476d-bc6c-3954ed094201">
    <w:name w:val="Normal Table_86b5d350-dc2a-476d-bc6c-3954ed094201"/>
    <w:uiPriority w:val="99"/>
    <w:semiHidden/>
    <w:unhideWhenUsed/>
    <w:tblPr>
      <w:tblInd w:w="0" w:type="dxa"/>
      <w:tblCellMar>
        <w:top w:w="0" w:type="dxa"/>
        <w:left w:w="108" w:type="dxa"/>
        <w:bottom w:w="0" w:type="dxa"/>
        <w:right w:w="108" w:type="dxa"/>
      </w:tblCellMar>
    </w:tblPr>
  </w:style>
  <w:style w:type="table" w:customStyle="1" w:styleId="Table18e1a03a7-bf39-489c-b95d-391a8844017b">
    <w:name w:val="Table 1_8e1a03a7-bf39-489c-b95d-391a8844017b"/>
    <w:basedOn w:val="NormalTable86b5d350-dc2a-476d-bc6c-3954ed09420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f5304e8-b4c6-44fc-8ae8-45883236f128">
    <w:name w:val="Table 2_ef5304e8-b4c6-44fc-8ae8-45883236f128"/>
    <w:basedOn w:val="Table18e1a03a7-bf39-489c-b95d-391a8844017b"/>
    <w:uiPriority w:val="99"/>
    <w:tblPr>
      <w:tblInd w:w="590" w:type="dxa"/>
    </w:tblPr>
    <w:tcPr>
      <w:shd w:val="clear" w:color="auto" w:fill="auto"/>
    </w:tcPr>
  </w:style>
  <w:style w:type="table" w:customStyle="1" w:styleId="Table3102440d7-52d7-4671-b1a7-4b19b00d7131">
    <w:name w:val="Table 3_102440d7-52d7-4671-b1a7-4b19b00d7131"/>
    <w:basedOn w:val="Table2ef5304e8-b4c6-44fc-8ae8-45883236f128"/>
    <w:uiPriority w:val="99"/>
    <w:tblPr>
      <w:tblInd w:w="1066" w:type="dxa"/>
    </w:tblPr>
    <w:tcPr>
      <w:shd w:val="clear" w:color="auto" w:fill="auto"/>
    </w:tcPr>
  </w:style>
  <w:style w:type="table" w:customStyle="1" w:styleId="Table4c9c9d1ae-14dd-4fe3-bb59-6b486db6eac7">
    <w:name w:val="Table 4_c9c9d1ae-14dd-4fe3-bb59-6b486db6eac7"/>
    <w:basedOn w:val="Table3102440d7-52d7-4671-b1a7-4b19b00d7131"/>
    <w:uiPriority w:val="99"/>
    <w:tblPr>
      <w:tblInd w:w="1555" w:type="dxa"/>
    </w:tblPr>
    <w:tcPr>
      <w:shd w:val="clear" w:color="auto" w:fill="auto"/>
    </w:tcPr>
  </w:style>
  <w:style w:type="table" w:customStyle="1" w:styleId="Table522eb6272-d3e7-4137-af61-3eee7233f3b1">
    <w:name w:val="Table 5_22eb6272-d3e7-4137-af61-3eee7233f3b1"/>
    <w:basedOn w:val="Table4c9c9d1ae-14dd-4fe3-bb59-6b486db6eac7"/>
    <w:uiPriority w:val="99"/>
    <w:tblPr>
      <w:tblInd w:w="2030" w:type="dxa"/>
    </w:tblPr>
    <w:tcPr>
      <w:shd w:val="clear" w:color="auto" w:fill="auto"/>
    </w:tcPr>
  </w:style>
  <w:style w:type="table" w:customStyle="1" w:styleId="Table646a13b49-4a63-4670-b057-f2d16d692ac7">
    <w:name w:val="Table 6_46a13b49-4a63-4670-b057-f2d16d692ac7"/>
    <w:basedOn w:val="Table522eb6272-d3e7-4137-af61-3eee7233f3b1"/>
    <w:uiPriority w:val="99"/>
    <w:tblPr>
      <w:tblInd w:w="2506" w:type="dxa"/>
      <w:tblCellMar>
        <w:left w:w="115" w:type="dxa"/>
        <w:right w:w="115" w:type="dxa"/>
      </w:tblCellMar>
    </w:tblPr>
    <w:tcPr>
      <w:shd w:val="clear" w:color="auto" w:fill="auto"/>
    </w:tcPr>
  </w:style>
  <w:style w:type="table" w:customStyle="1" w:styleId="Table7">
    <w:name w:val="Table 7"/>
    <w:basedOn w:val="Table646a13b49-4a63-4670-b057-f2d16d692ac7"/>
    <w:uiPriority w:val="99"/>
    <w:tblPr>
      <w:tblInd w:w="2995" w:type="dxa"/>
    </w:tblPr>
    <w:tcPr>
      <w:shd w:val="clear" w:color="auto" w:fill="auto"/>
    </w:tcPr>
  </w:style>
  <w:style w:type="table" w:customStyle="1" w:styleId="NormalTable6f806092-e552-4b26-aa09-214db2a031b0">
    <w:name w:val="Normal Table_6f806092-e552-4b26-aa09-214db2a031b0"/>
    <w:uiPriority w:val="99"/>
    <w:semiHidden/>
    <w:unhideWhenUsed/>
    <w:tblPr>
      <w:tblInd w:w="0" w:type="dxa"/>
      <w:tblCellMar>
        <w:top w:w="0" w:type="dxa"/>
        <w:left w:w="108" w:type="dxa"/>
        <w:bottom w:w="0" w:type="dxa"/>
        <w:right w:w="108" w:type="dxa"/>
      </w:tblCellMar>
    </w:tblPr>
  </w:style>
  <w:style w:type="table" w:customStyle="1" w:styleId="Table11c56c446-e295-4244-b25d-78866ab81cf1">
    <w:name w:val="Table 1_1c56c446-e295-4244-b25d-78866ab81cf1"/>
    <w:basedOn w:val="NormalTable6f806092-e552-4b26-aa09-214db2a031b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2d8f79e-cc52-4094-9172-e5b8d471f27e">
    <w:name w:val="Table 2_c2d8f79e-cc52-4094-9172-e5b8d471f27e"/>
    <w:basedOn w:val="Table11c56c446-e295-4244-b25d-78866ab81cf1"/>
    <w:uiPriority w:val="99"/>
    <w:tblPr>
      <w:tblInd w:w="590" w:type="dxa"/>
    </w:tblPr>
    <w:tcPr>
      <w:shd w:val="clear" w:color="auto" w:fill="auto"/>
    </w:tcPr>
  </w:style>
  <w:style w:type="table" w:customStyle="1" w:styleId="Table37e7f4778-ef74-4e9a-aea1-72f6bda7b179">
    <w:name w:val="Table 3_7e7f4778-ef74-4e9a-aea1-72f6bda7b179"/>
    <w:basedOn w:val="Table2c2d8f79e-cc52-4094-9172-e5b8d471f27e"/>
    <w:uiPriority w:val="99"/>
    <w:tblPr>
      <w:tblInd w:w="1066" w:type="dxa"/>
    </w:tblPr>
    <w:tcPr>
      <w:shd w:val="clear" w:color="auto" w:fill="auto"/>
    </w:tcPr>
  </w:style>
  <w:style w:type="table" w:customStyle="1" w:styleId="Table4400ce26a-ea19-418b-9e05-5ee61af0cb96">
    <w:name w:val="Table 4_400ce26a-ea19-418b-9e05-5ee61af0cb96"/>
    <w:basedOn w:val="Table37e7f4778-ef74-4e9a-aea1-72f6bda7b179"/>
    <w:uiPriority w:val="99"/>
    <w:tblPr>
      <w:tblInd w:w="1555" w:type="dxa"/>
    </w:tblPr>
    <w:tcPr>
      <w:shd w:val="clear" w:color="auto" w:fill="auto"/>
    </w:tcPr>
  </w:style>
  <w:style w:type="table" w:customStyle="1" w:styleId="Table54de3f8f9-1fb4-47b3-b001-9989258a596e">
    <w:name w:val="Table 5_4de3f8f9-1fb4-47b3-b001-9989258a596e"/>
    <w:basedOn w:val="Table4400ce26a-ea19-418b-9e05-5ee61af0cb96"/>
    <w:uiPriority w:val="99"/>
    <w:tblPr>
      <w:tblInd w:w="2030" w:type="dxa"/>
    </w:tblPr>
    <w:tcPr>
      <w:shd w:val="clear" w:color="auto" w:fill="auto"/>
    </w:tcPr>
  </w:style>
  <w:style w:type="table" w:customStyle="1" w:styleId="Table6b09d202b-17e2-439f-bfeb-3479f832124e">
    <w:name w:val="Table 6_b09d202b-17e2-439f-bfeb-3479f832124e"/>
    <w:basedOn w:val="Table54de3f8f9-1fb4-47b3-b001-9989258a596e"/>
    <w:uiPriority w:val="99"/>
    <w:tblPr>
      <w:tblInd w:w="2506" w:type="dxa"/>
      <w:tblCellMar>
        <w:left w:w="115" w:type="dxa"/>
        <w:right w:w="115" w:type="dxa"/>
      </w:tblCellMar>
    </w:tblPr>
    <w:tcPr>
      <w:shd w:val="clear" w:color="auto" w:fill="auto"/>
    </w:tcPr>
  </w:style>
  <w:style w:type="table" w:customStyle="1" w:styleId="Table7f4e158ec-a83f-4cc5-8d26-da65427b69b3">
    <w:name w:val="Table 7_f4e158ec-a83f-4cc5-8d26-da65427b69b3"/>
    <w:basedOn w:val="Table6b09d202b-17e2-439f-bfeb-3479f832124e"/>
    <w:uiPriority w:val="99"/>
    <w:tblPr>
      <w:tblInd w:w="2995" w:type="dxa"/>
    </w:tblPr>
    <w:tcPr>
      <w:shd w:val="clear" w:color="auto" w:fill="auto"/>
    </w:tcPr>
  </w:style>
  <w:style w:type="table" w:customStyle="1" w:styleId="Table8">
    <w:name w:val="Table 8"/>
    <w:basedOn w:val="Table7f4e158ec-a83f-4cc5-8d26-da65427b69b3"/>
    <w:uiPriority w:val="99"/>
    <w:tblPr>
      <w:tblInd w:w="3470" w:type="dxa"/>
    </w:tblPr>
    <w:tcPr>
      <w:shd w:val="clear" w:color="auto" w:fill="auto"/>
    </w:tcPr>
  </w:style>
  <w:style w:type="table" w:customStyle="1" w:styleId="NormalTable23e84220-5d40-4c6f-b214-5b81d9cd89c6">
    <w:name w:val="Normal Table_23e84220-5d40-4c6f-b214-5b81d9cd89c6"/>
    <w:uiPriority w:val="99"/>
    <w:semiHidden/>
    <w:unhideWhenUsed/>
    <w:tblPr>
      <w:tblInd w:w="0" w:type="dxa"/>
      <w:tblCellMar>
        <w:top w:w="0" w:type="dxa"/>
        <w:left w:w="108" w:type="dxa"/>
        <w:bottom w:w="0" w:type="dxa"/>
        <w:right w:w="108" w:type="dxa"/>
      </w:tblCellMar>
    </w:tblPr>
  </w:style>
  <w:style w:type="table" w:customStyle="1" w:styleId="Table11f690d2a-51e3-451a-9cc7-ab169d55bef3">
    <w:name w:val="Table 1_1f690d2a-51e3-451a-9cc7-ab169d55bef3"/>
    <w:basedOn w:val="NormalTable23e84220-5d40-4c6f-b214-5b81d9cd89c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213e7865-d368-49f6-98f0-a4e3b50451e2">
    <w:name w:val="Table 2_213e7865-d368-49f6-98f0-a4e3b50451e2"/>
    <w:basedOn w:val="Table11f690d2a-51e3-451a-9cc7-ab169d55bef3"/>
    <w:uiPriority w:val="99"/>
    <w:tblPr>
      <w:tblInd w:w="590" w:type="dxa"/>
    </w:tblPr>
    <w:tcPr>
      <w:shd w:val="clear" w:color="auto" w:fill="auto"/>
    </w:tcPr>
  </w:style>
  <w:style w:type="table" w:customStyle="1" w:styleId="Table3d0582c28-e783-4c32-b845-6edb24b13284">
    <w:name w:val="Table 3_d0582c28-e783-4c32-b845-6edb24b13284"/>
    <w:basedOn w:val="Table2213e7865-d368-49f6-98f0-a4e3b50451e2"/>
    <w:uiPriority w:val="99"/>
    <w:tblPr>
      <w:tblInd w:w="1066" w:type="dxa"/>
    </w:tblPr>
    <w:tcPr>
      <w:shd w:val="clear" w:color="auto" w:fill="auto"/>
    </w:tcPr>
  </w:style>
  <w:style w:type="table" w:customStyle="1" w:styleId="Table4b31d6b52-45d3-42d7-89f3-8f189c52b3ce">
    <w:name w:val="Table 4_b31d6b52-45d3-42d7-89f3-8f189c52b3ce"/>
    <w:basedOn w:val="Table3d0582c28-e783-4c32-b845-6edb24b13284"/>
    <w:uiPriority w:val="99"/>
    <w:tblPr>
      <w:tblInd w:w="1555" w:type="dxa"/>
    </w:tblPr>
    <w:tcPr>
      <w:shd w:val="clear" w:color="auto" w:fill="auto"/>
    </w:tcPr>
  </w:style>
  <w:style w:type="table" w:customStyle="1" w:styleId="Table549f5079f-cf0f-4e81-a416-df683b2e88a7">
    <w:name w:val="Table 5_49f5079f-cf0f-4e81-a416-df683b2e88a7"/>
    <w:basedOn w:val="Table4b31d6b52-45d3-42d7-89f3-8f189c52b3ce"/>
    <w:uiPriority w:val="99"/>
    <w:tblPr>
      <w:tblInd w:w="2030" w:type="dxa"/>
    </w:tblPr>
    <w:tcPr>
      <w:shd w:val="clear" w:color="auto" w:fill="auto"/>
    </w:tcPr>
  </w:style>
  <w:style w:type="table" w:customStyle="1" w:styleId="Table6ae119494-ea40-4d24-85b1-88816b7a146b">
    <w:name w:val="Table 6_ae119494-ea40-4d24-85b1-88816b7a146b"/>
    <w:basedOn w:val="Table549f5079f-cf0f-4e81-a416-df683b2e88a7"/>
    <w:uiPriority w:val="99"/>
    <w:tblPr>
      <w:tblInd w:w="2506" w:type="dxa"/>
      <w:tblCellMar>
        <w:left w:w="115" w:type="dxa"/>
        <w:right w:w="115" w:type="dxa"/>
      </w:tblCellMar>
    </w:tblPr>
    <w:tcPr>
      <w:shd w:val="clear" w:color="auto" w:fill="auto"/>
    </w:tcPr>
  </w:style>
  <w:style w:type="table" w:customStyle="1" w:styleId="Table712bf9549-df3f-4ad5-a77d-126708ae4c28">
    <w:name w:val="Table 7_12bf9549-df3f-4ad5-a77d-126708ae4c28"/>
    <w:basedOn w:val="Table6ae119494-ea40-4d24-85b1-88816b7a146b"/>
    <w:uiPriority w:val="99"/>
    <w:tblPr>
      <w:tblInd w:w="2995" w:type="dxa"/>
    </w:tblPr>
    <w:tcPr>
      <w:shd w:val="clear" w:color="auto" w:fill="auto"/>
    </w:tcPr>
  </w:style>
  <w:style w:type="table" w:customStyle="1" w:styleId="Table8be95b5c6-c6c5-4746-99ea-fe5a33f6a41b">
    <w:name w:val="Table 8_be95b5c6-c6c5-4746-99ea-fe5a33f6a41b"/>
    <w:basedOn w:val="Table712bf9549-df3f-4ad5-a77d-126708ae4c28"/>
    <w:uiPriority w:val="99"/>
    <w:tblPr>
      <w:tblInd w:w="3470" w:type="dxa"/>
    </w:tblPr>
    <w:tcPr>
      <w:shd w:val="clear" w:color="auto" w:fill="auto"/>
    </w:tcPr>
  </w:style>
  <w:style w:type="table" w:customStyle="1" w:styleId="Table9">
    <w:name w:val="Table 9"/>
    <w:basedOn w:val="Table8be95b5c6-c6c5-4746-99ea-fe5a33f6a41b"/>
    <w:uiPriority w:val="99"/>
    <w:tblPr>
      <w:tblInd w:w="3946" w:type="dxa"/>
    </w:tblPr>
    <w:tcPr>
      <w:shd w:val="clear" w:color="auto" w:fill="auto"/>
    </w:tcPr>
  </w:style>
  <w:style w:type="table" w:customStyle="1" w:styleId="NormalTable2efc634f-542b-4500-b5ce-7742e22573f8">
    <w:name w:val="Normal Table_2efc634f-542b-4500-b5ce-7742e22573f8"/>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2efc634f-542b-4500-b5ce-7742e22573f8"/>
    <w:uiPriority w:val="99"/>
    <w:pPr>
      <w:spacing w:before="0" w:after="0"/>
      <w:jc w:val="left"/>
    </w:pPr>
    <w:tblPr>
      <w:tblCellMar>
        <w:left w:w="0" w:type="dxa"/>
        <w:right w:w="0" w:type="dxa"/>
      </w:tblCellMar>
    </w:tblPr>
    <w:tcPr>
      <w:shd w:val="clear" w:color="auto" w:fill="auto"/>
    </w:tcPr>
  </w:style>
  <w:style w:type="table" w:customStyle="1" w:styleId="NormalTableed2fc94b-049f-458f-8d6b-eeb95d7c607a">
    <w:name w:val="Normal Table_ed2fc94b-049f-458f-8d6b-eeb95d7c607a"/>
    <w:uiPriority w:val="99"/>
    <w:semiHidden/>
    <w:unhideWhenUsed/>
    <w:tblPr>
      <w:tblInd w:w="0" w:type="dxa"/>
      <w:tblCellMar>
        <w:top w:w="0" w:type="dxa"/>
        <w:left w:w="108" w:type="dxa"/>
        <w:bottom w:w="0" w:type="dxa"/>
        <w:right w:w="108" w:type="dxa"/>
      </w:tblCellMar>
    </w:tblPr>
  </w:style>
  <w:style w:type="table" w:customStyle="1" w:styleId="TableNoRule1744fc5c0-8543-4a1d-a69d-64744162ba60">
    <w:name w:val="Table NoRule 1_744fc5c0-8543-4a1d-a69d-64744162ba60"/>
    <w:basedOn w:val="NormalTableed2fc94b-049f-458f-8d6b-eeb95d7c607a"/>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744fc5c0-8543-4a1d-a69d-64744162ba60"/>
    <w:uiPriority w:val="99"/>
    <w:tblPr>
      <w:tblInd w:w="475" w:type="dxa"/>
    </w:tblPr>
    <w:tcPr>
      <w:shd w:val="clear" w:color="auto" w:fill="auto"/>
    </w:tcPr>
  </w:style>
  <w:style w:type="table" w:customStyle="1" w:styleId="NormalTable81748486-89ca-4bde-921a-7995af96032b">
    <w:name w:val="Normal Table_81748486-89ca-4bde-921a-7995af96032b"/>
    <w:uiPriority w:val="99"/>
    <w:semiHidden/>
    <w:unhideWhenUsed/>
    <w:tblPr>
      <w:tblInd w:w="0" w:type="dxa"/>
      <w:tblCellMar>
        <w:top w:w="0" w:type="dxa"/>
        <w:left w:w="108" w:type="dxa"/>
        <w:bottom w:w="0" w:type="dxa"/>
        <w:right w:w="108" w:type="dxa"/>
      </w:tblCellMar>
    </w:tblPr>
  </w:style>
  <w:style w:type="table" w:customStyle="1" w:styleId="TableNoRule1673caf2c-b51b-41a7-bc36-c107dbbac083">
    <w:name w:val="Table NoRule 1_673caf2c-b51b-41a7-bc36-c107dbbac083"/>
    <w:basedOn w:val="NormalTable81748486-89ca-4bde-921a-7995af96032b"/>
    <w:uiPriority w:val="99"/>
    <w:pPr>
      <w:spacing w:before="0" w:after="0"/>
      <w:jc w:val="left"/>
    </w:pPr>
    <w:tblPr>
      <w:tblCellMar>
        <w:left w:w="0" w:type="dxa"/>
        <w:right w:w="0" w:type="dxa"/>
      </w:tblCellMar>
    </w:tblPr>
    <w:tcPr>
      <w:shd w:val="clear" w:color="auto" w:fill="auto"/>
    </w:tcPr>
  </w:style>
  <w:style w:type="table" w:customStyle="1" w:styleId="TableNoRule2eddc3128-0872-4b5f-b237-205e846a87e1">
    <w:name w:val="Table NoRule 2_eddc3128-0872-4b5f-b237-205e846a87e1"/>
    <w:basedOn w:val="TableNoRule1673caf2c-b51b-41a7-bc36-c107dbbac083"/>
    <w:uiPriority w:val="99"/>
    <w:tblPr>
      <w:tblInd w:w="475" w:type="dxa"/>
    </w:tblPr>
    <w:tcPr>
      <w:shd w:val="clear" w:color="auto" w:fill="auto"/>
    </w:tcPr>
  </w:style>
  <w:style w:type="table" w:customStyle="1" w:styleId="TableNoRule3">
    <w:name w:val="Table NoRule 3"/>
    <w:basedOn w:val="TableNoRule2eddc3128-0872-4b5f-b237-205e846a87e1"/>
    <w:uiPriority w:val="99"/>
    <w:tblPr>
      <w:tblInd w:w="950" w:type="dxa"/>
    </w:tblPr>
    <w:tcPr>
      <w:shd w:val="clear" w:color="auto" w:fill="auto"/>
    </w:tcPr>
  </w:style>
  <w:style w:type="table" w:customStyle="1" w:styleId="NormalTable95e01bc2-e99f-4e43-b612-d086822478b7">
    <w:name w:val="Normal Table_95e01bc2-e99f-4e43-b612-d086822478b7"/>
    <w:uiPriority w:val="99"/>
    <w:semiHidden/>
    <w:unhideWhenUsed/>
    <w:tblPr>
      <w:tblInd w:w="0" w:type="dxa"/>
      <w:tblCellMar>
        <w:top w:w="0" w:type="dxa"/>
        <w:left w:w="108" w:type="dxa"/>
        <w:bottom w:w="0" w:type="dxa"/>
        <w:right w:w="108" w:type="dxa"/>
      </w:tblCellMar>
    </w:tblPr>
  </w:style>
  <w:style w:type="table" w:customStyle="1" w:styleId="TableNoRule158221c34-ca01-4f68-9239-431ba39e5c21">
    <w:name w:val="Table NoRule 1_58221c34-ca01-4f68-9239-431ba39e5c21"/>
    <w:basedOn w:val="NormalTable95e01bc2-e99f-4e43-b612-d086822478b7"/>
    <w:uiPriority w:val="99"/>
    <w:pPr>
      <w:spacing w:before="0" w:after="0"/>
      <w:jc w:val="left"/>
    </w:pPr>
    <w:tblPr>
      <w:tblCellMar>
        <w:left w:w="0" w:type="dxa"/>
        <w:right w:w="0" w:type="dxa"/>
      </w:tblCellMar>
    </w:tblPr>
    <w:tcPr>
      <w:shd w:val="clear" w:color="auto" w:fill="auto"/>
    </w:tcPr>
  </w:style>
  <w:style w:type="table" w:customStyle="1" w:styleId="TableNoRule2d89c6cd2-cbe7-498e-9654-b566ecb185c7">
    <w:name w:val="Table NoRule 2_d89c6cd2-cbe7-498e-9654-b566ecb185c7"/>
    <w:basedOn w:val="TableNoRule158221c34-ca01-4f68-9239-431ba39e5c21"/>
    <w:uiPriority w:val="99"/>
    <w:tblPr>
      <w:tblInd w:w="475" w:type="dxa"/>
    </w:tblPr>
    <w:tcPr>
      <w:shd w:val="clear" w:color="auto" w:fill="auto"/>
    </w:tcPr>
  </w:style>
  <w:style w:type="table" w:customStyle="1" w:styleId="TableNoRule38cd8839e-4269-4017-a9bc-e8826785dbfb">
    <w:name w:val="Table NoRule 3_8cd8839e-4269-4017-a9bc-e8826785dbfb"/>
    <w:basedOn w:val="TableNoRule2d89c6cd2-cbe7-498e-9654-b566ecb185c7"/>
    <w:uiPriority w:val="99"/>
    <w:tblPr>
      <w:tblInd w:w="950" w:type="dxa"/>
    </w:tblPr>
    <w:tcPr>
      <w:shd w:val="clear" w:color="auto" w:fill="auto"/>
    </w:tcPr>
  </w:style>
  <w:style w:type="table" w:customStyle="1" w:styleId="TableNoRule4">
    <w:name w:val="Table NoRule 4"/>
    <w:basedOn w:val="TableNoRule38cd8839e-4269-4017-a9bc-e8826785dbfb"/>
    <w:uiPriority w:val="99"/>
    <w:tblPr>
      <w:tblInd w:w="1440" w:type="dxa"/>
    </w:tblPr>
    <w:tcPr>
      <w:shd w:val="clear" w:color="auto" w:fill="auto"/>
    </w:tcPr>
  </w:style>
  <w:style w:type="table" w:customStyle="1" w:styleId="NormalTable62728301-0e4a-4e09-9ecb-ff7c197c2337">
    <w:name w:val="Normal Table_62728301-0e4a-4e09-9ecb-ff7c197c2337"/>
    <w:uiPriority w:val="99"/>
    <w:semiHidden/>
    <w:unhideWhenUsed/>
    <w:tblPr>
      <w:tblInd w:w="0" w:type="dxa"/>
      <w:tblCellMar>
        <w:top w:w="0" w:type="dxa"/>
        <w:left w:w="108" w:type="dxa"/>
        <w:bottom w:w="0" w:type="dxa"/>
        <w:right w:w="108" w:type="dxa"/>
      </w:tblCellMar>
    </w:tblPr>
  </w:style>
  <w:style w:type="table" w:customStyle="1" w:styleId="TableNoRule1c72f924c-6007-41ec-b9cd-e0bcb262957c">
    <w:name w:val="Table NoRule 1_c72f924c-6007-41ec-b9cd-e0bcb262957c"/>
    <w:basedOn w:val="NormalTable62728301-0e4a-4e09-9ecb-ff7c197c2337"/>
    <w:uiPriority w:val="99"/>
    <w:pPr>
      <w:spacing w:before="0" w:after="0"/>
      <w:jc w:val="left"/>
    </w:pPr>
    <w:tblPr>
      <w:tblCellMar>
        <w:left w:w="0" w:type="dxa"/>
        <w:right w:w="0" w:type="dxa"/>
      </w:tblCellMar>
    </w:tblPr>
    <w:tcPr>
      <w:shd w:val="clear" w:color="auto" w:fill="auto"/>
    </w:tcPr>
  </w:style>
  <w:style w:type="table" w:customStyle="1" w:styleId="TableNoRule2c4094ad7-daae-45ff-b320-db18fba9e7b5">
    <w:name w:val="Table NoRule 2_c4094ad7-daae-45ff-b320-db18fba9e7b5"/>
    <w:basedOn w:val="TableNoRule1c72f924c-6007-41ec-b9cd-e0bcb262957c"/>
    <w:uiPriority w:val="99"/>
    <w:tblPr>
      <w:tblInd w:w="475" w:type="dxa"/>
    </w:tblPr>
    <w:tcPr>
      <w:shd w:val="clear" w:color="auto" w:fill="auto"/>
    </w:tcPr>
  </w:style>
  <w:style w:type="table" w:customStyle="1" w:styleId="TableNoRule34e95b09f-9ba5-44d5-8c3c-0b70faed31f2">
    <w:name w:val="Table NoRule 3_4e95b09f-9ba5-44d5-8c3c-0b70faed31f2"/>
    <w:basedOn w:val="TableNoRule2c4094ad7-daae-45ff-b320-db18fba9e7b5"/>
    <w:uiPriority w:val="99"/>
    <w:tblPr>
      <w:tblInd w:w="950" w:type="dxa"/>
    </w:tblPr>
    <w:tcPr>
      <w:shd w:val="clear" w:color="auto" w:fill="auto"/>
    </w:tcPr>
  </w:style>
  <w:style w:type="table" w:customStyle="1" w:styleId="TableNoRule4e960a139-40c0-40d9-90c4-6aab27129ee4">
    <w:name w:val="Table NoRule 4_e960a139-40c0-40d9-90c4-6aab27129ee4"/>
    <w:basedOn w:val="TableNoRule34e95b09f-9ba5-44d5-8c3c-0b70faed31f2"/>
    <w:uiPriority w:val="99"/>
    <w:tblPr>
      <w:tblInd w:w="1440" w:type="dxa"/>
    </w:tblPr>
    <w:tcPr>
      <w:shd w:val="clear" w:color="auto" w:fill="auto"/>
    </w:tcPr>
  </w:style>
  <w:style w:type="table" w:customStyle="1" w:styleId="TableNoRule5">
    <w:name w:val="Table NoRule 5"/>
    <w:basedOn w:val="TableNoRule4e960a139-40c0-40d9-90c4-6aab27129ee4"/>
    <w:uiPriority w:val="99"/>
    <w:tblPr>
      <w:tblInd w:w="1915" w:type="dxa"/>
    </w:tblPr>
    <w:tcPr>
      <w:shd w:val="clear" w:color="auto" w:fill="auto"/>
    </w:tcPr>
  </w:style>
  <w:style w:type="table" w:customStyle="1" w:styleId="NormalTabled628da62-b3d6-488c-8272-275f80267c9f">
    <w:name w:val="Normal Table_d628da62-b3d6-488c-8272-275f80267c9f"/>
    <w:uiPriority w:val="99"/>
    <w:semiHidden/>
    <w:unhideWhenUsed/>
    <w:tblPr>
      <w:tblInd w:w="0" w:type="dxa"/>
      <w:tblCellMar>
        <w:top w:w="0" w:type="dxa"/>
        <w:left w:w="108" w:type="dxa"/>
        <w:bottom w:w="0" w:type="dxa"/>
        <w:right w:w="108" w:type="dxa"/>
      </w:tblCellMar>
    </w:tblPr>
  </w:style>
  <w:style w:type="table" w:customStyle="1" w:styleId="TableNoRule1c351bf02-fe20-49a3-86d0-83ca59fcc6d8">
    <w:name w:val="Table NoRule 1_c351bf02-fe20-49a3-86d0-83ca59fcc6d8"/>
    <w:basedOn w:val="NormalTabled628da62-b3d6-488c-8272-275f80267c9f"/>
    <w:uiPriority w:val="99"/>
    <w:pPr>
      <w:spacing w:before="0" w:after="0"/>
      <w:jc w:val="left"/>
    </w:pPr>
    <w:tblPr>
      <w:tblCellMar>
        <w:left w:w="0" w:type="dxa"/>
        <w:right w:w="0" w:type="dxa"/>
      </w:tblCellMar>
    </w:tblPr>
    <w:tcPr>
      <w:shd w:val="clear" w:color="auto" w:fill="auto"/>
    </w:tcPr>
  </w:style>
  <w:style w:type="table" w:customStyle="1" w:styleId="TableNoRule2e69ae223-d52a-4dc6-bee2-0224d6123f9a">
    <w:name w:val="Table NoRule 2_e69ae223-d52a-4dc6-bee2-0224d6123f9a"/>
    <w:basedOn w:val="TableNoRule1c351bf02-fe20-49a3-86d0-83ca59fcc6d8"/>
    <w:uiPriority w:val="99"/>
    <w:tblPr>
      <w:tblInd w:w="475" w:type="dxa"/>
    </w:tblPr>
    <w:tcPr>
      <w:shd w:val="clear" w:color="auto" w:fill="auto"/>
    </w:tcPr>
  </w:style>
  <w:style w:type="table" w:customStyle="1" w:styleId="TableNoRule38166f965-1f3c-4133-be87-e2ae4a472d1d">
    <w:name w:val="Table NoRule 3_8166f965-1f3c-4133-be87-e2ae4a472d1d"/>
    <w:basedOn w:val="TableNoRule2e69ae223-d52a-4dc6-bee2-0224d6123f9a"/>
    <w:uiPriority w:val="99"/>
    <w:tblPr>
      <w:tblInd w:w="950" w:type="dxa"/>
    </w:tblPr>
    <w:tcPr>
      <w:shd w:val="clear" w:color="auto" w:fill="auto"/>
    </w:tcPr>
  </w:style>
  <w:style w:type="table" w:customStyle="1" w:styleId="TableNoRule4e22141fc-2264-4c5d-a1fc-829fd202aa54">
    <w:name w:val="Table NoRule 4_e22141fc-2264-4c5d-a1fc-829fd202aa54"/>
    <w:basedOn w:val="TableNoRule38166f965-1f3c-4133-be87-e2ae4a472d1d"/>
    <w:uiPriority w:val="99"/>
    <w:tblPr>
      <w:tblInd w:w="1440" w:type="dxa"/>
    </w:tblPr>
    <w:tcPr>
      <w:shd w:val="clear" w:color="auto" w:fill="auto"/>
    </w:tcPr>
  </w:style>
  <w:style w:type="table" w:customStyle="1" w:styleId="TableNoRule574290f8a-8cd9-40cf-b996-6b3728c5fd25">
    <w:name w:val="Table NoRule 5_74290f8a-8cd9-40cf-b996-6b3728c5fd25"/>
    <w:basedOn w:val="TableNoRule4e22141fc-2264-4c5d-a1fc-829fd202aa54"/>
    <w:uiPriority w:val="99"/>
    <w:tblPr>
      <w:tblInd w:w="1915" w:type="dxa"/>
    </w:tblPr>
    <w:tcPr>
      <w:shd w:val="clear" w:color="auto" w:fill="auto"/>
    </w:tcPr>
  </w:style>
  <w:style w:type="table" w:customStyle="1" w:styleId="TableNoRule6">
    <w:name w:val="Table NoRule 6"/>
    <w:basedOn w:val="TableNoRule574290f8a-8cd9-40cf-b996-6b3728c5fd25"/>
    <w:uiPriority w:val="99"/>
    <w:tblPr>
      <w:tblInd w:w="2390" w:type="dxa"/>
    </w:tblPr>
    <w:tcPr>
      <w:shd w:val="clear" w:color="auto" w:fill="auto"/>
    </w:tcPr>
  </w:style>
  <w:style w:type="table" w:customStyle="1" w:styleId="NormalTable909d9a57-0d04-4633-a2fb-1b745b10042b">
    <w:name w:val="Normal Table_909d9a57-0d04-4633-a2fb-1b745b10042b"/>
    <w:uiPriority w:val="99"/>
    <w:semiHidden/>
    <w:unhideWhenUsed/>
    <w:tblPr>
      <w:tblInd w:w="0" w:type="dxa"/>
      <w:tblCellMar>
        <w:top w:w="0" w:type="dxa"/>
        <w:left w:w="108" w:type="dxa"/>
        <w:bottom w:w="0" w:type="dxa"/>
        <w:right w:w="108" w:type="dxa"/>
      </w:tblCellMar>
    </w:tblPr>
  </w:style>
  <w:style w:type="table" w:customStyle="1" w:styleId="TableNoRule1fb0c1e92-fa48-42ee-b6dd-b375ee66f61f">
    <w:name w:val="Table NoRule 1_fb0c1e92-fa48-42ee-b6dd-b375ee66f61f"/>
    <w:basedOn w:val="NormalTable909d9a57-0d04-4633-a2fb-1b745b10042b"/>
    <w:uiPriority w:val="99"/>
    <w:pPr>
      <w:spacing w:before="0" w:after="0"/>
      <w:jc w:val="left"/>
    </w:pPr>
    <w:tblPr>
      <w:tblCellMar>
        <w:left w:w="0" w:type="dxa"/>
        <w:right w:w="0" w:type="dxa"/>
      </w:tblCellMar>
    </w:tblPr>
    <w:tcPr>
      <w:shd w:val="clear" w:color="auto" w:fill="auto"/>
    </w:tcPr>
  </w:style>
  <w:style w:type="table" w:customStyle="1" w:styleId="TableNoRule2161a1072-0dc1-41ea-b32a-161662bf4d44">
    <w:name w:val="Table NoRule 2_161a1072-0dc1-41ea-b32a-161662bf4d44"/>
    <w:basedOn w:val="TableNoRule1fb0c1e92-fa48-42ee-b6dd-b375ee66f61f"/>
    <w:uiPriority w:val="99"/>
    <w:tblPr>
      <w:tblInd w:w="475" w:type="dxa"/>
    </w:tblPr>
    <w:tcPr>
      <w:shd w:val="clear" w:color="auto" w:fill="auto"/>
    </w:tcPr>
  </w:style>
  <w:style w:type="table" w:customStyle="1" w:styleId="TableNoRule325bc13aa-312b-405f-8022-1f6e1f781d0d">
    <w:name w:val="Table NoRule 3_25bc13aa-312b-405f-8022-1f6e1f781d0d"/>
    <w:basedOn w:val="TableNoRule2161a1072-0dc1-41ea-b32a-161662bf4d44"/>
    <w:uiPriority w:val="99"/>
    <w:tblPr>
      <w:tblInd w:w="950" w:type="dxa"/>
    </w:tblPr>
    <w:tcPr>
      <w:shd w:val="clear" w:color="auto" w:fill="auto"/>
    </w:tcPr>
  </w:style>
  <w:style w:type="table" w:customStyle="1" w:styleId="TableNoRule40eb168cd-c8e3-43bc-9cb1-2fa1a28fe566">
    <w:name w:val="Table NoRule 4_0eb168cd-c8e3-43bc-9cb1-2fa1a28fe566"/>
    <w:basedOn w:val="TableNoRule325bc13aa-312b-405f-8022-1f6e1f781d0d"/>
    <w:uiPriority w:val="99"/>
    <w:tblPr>
      <w:tblInd w:w="1440" w:type="dxa"/>
    </w:tblPr>
    <w:tcPr>
      <w:shd w:val="clear" w:color="auto" w:fill="auto"/>
    </w:tcPr>
  </w:style>
  <w:style w:type="table" w:customStyle="1" w:styleId="TableNoRule5f3a70c3a-19cb-45b6-ad7d-8bb777393938">
    <w:name w:val="Table NoRule 5_f3a70c3a-19cb-45b6-ad7d-8bb777393938"/>
    <w:basedOn w:val="TableNoRule40eb168cd-c8e3-43bc-9cb1-2fa1a28fe566"/>
    <w:uiPriority w:val="99"/>
    <w:tblPr>
      <w:tblInd w:w="1915" w:type="dxa"/>
    </w:tblPr>
    <w:tcPr>
      <w:shd w:val="clear" w:color="auto" w:fill="auto"/>
    </w:tcPr>
  </w:style>
  <w:style w:type="table" w:customStyle="1" w:styleId="TableNoRule62f5b7cbc-a880-417f-a647-4f852536d338">
    <w:name w:val="Table NoRule 6_2f5b7cbc-a880-417f-a647-4f852536d338"/>
    <w:basedOn w:val="TableNoRule5f3a70c3a-19cb-45b6-ad7d-8bb777393938"/>
    <w:uiPriority w:val="99"/>
    <w:tblPr>
      <w:tblInd w:w="2390" w:type="dxa"/>
    </w:tblPr>
    <w:tcPr>
      <w:shd w:val="clear" w:color="auto" w:fill="auto"/>
    </w:tcPr>
  </w:style>
  <w:style w:type="table" w:customStyle="1" w:styleId="TableNoRule7">
    <w:name w:val="Table NoRule 7"/>
    <w:basedOn w:val="TableNoRule62f5b7cbc-a880-417f-a647-4f852536d338"/>
    <w:uiPriority w:val="99"/>
    <w:tblPr>
      <w:tblInd w:w="2880" w:type="dxa"/>
    </w:tblPr>
    <w:tcPr>
      <w:shd w:val="clear" w:color="auto" w:fill="auto"/>
    </w:tcPr>
  </w:style>
  <w:style w:type="table" w:customStyle="1" w:styleId="NormalTable23352075-5a00-420d-ad83-644669800aef">
    <w:name w:val="Normal Table_23352075-5a00-420d-ad83-644669800aef"/>
    <w:uiPriority w:val="99"/>
    <w:semiHidden/>
    <w:unhideWhenUsed/>
    <w:tblPr>
      <w:tblInd w:w="0" w:type="dxa"/>
      <w:tblCellMar>
        <w:top w:w="0" w:type="dxa"/>
        <w:left w:w="108" w:type="dxa"/>
        <w:bottom w:w="0" w:type="dxa"/>
        <w:right w:w="108" w:type="dxa"/>
      </w:tblCellMar>
    </w:tblPr>
  </w:style>
  <w:style w:type="table" w:customStyle="1" w:styleId="TableNoRule14ac72137-21be-4dd0-b23e-e7ab87fcca31">
    <w:name w:val="Table NoRule 1_4ac72137-21be-4dd0-b23e-e7ab87fcca31"/>
    <w:basedOn w:val="NormalTable23352075-5a00-420d-ad83-644669800aef"/>
    <w:uiPriority w:val="99"/>
    <w:pPr>
      <w:spacing w:before="0" w:after="0"/>
      <w:jc w:val="left"/>
    </w:pPr>
    <w:tblPr>
      <w:tblCellMar>
        <w:left w:w="0" w:type="dxa"/>
        <w:right w:w="0" w:type="dxa"/>
      </w:tblCellMar>
    </w:tblPr>
    <w:tcPr>
      <w:shd w:val="clear" w:color="auto" w:fill="auto"/>
    </w:tcPr>
  </w:style>
  <w:style w:type="table" w:customStyle="1" w:styleId="TableNoRule2a7bfd17e-641e-4df4-9597-5289f3d2d5d2">
    <w:name w:val="Table NoRule 2_a7bfd17e-641e-4df4-9597-5289f3d2d5d2"/>
    <w:basedOn w:val="TableNoRule14ac72137-21be-4dd0-b23e-e7ab87fcca31"/>
    <w:uiPriority w:val="99"/>
    <w:tblPr>
      <w:tblInd w:w="475" w:type="dxa"/>
    </w:tblPr>
    <w:tcPr>
      <w:shd w:val="clear" w:color="auto" w:fill="auto"/>
    </w:tcPr>
  </w:style>
  <w:style w:type="table" w:customStyle="1" w:styleId="TableNoRule356147b7a-c879-4801-be60-21bc4b034445">
    <w:name w:val="Table NoRule 3_56147b7a-c879-4801-be60-21bc4b034445"/>
    <w:basedOn w:val="TableNoRule2a7bfd17e-641e-4df4-9597-5289f3d2d5d2"/>
    <w:uiPriority w:val="99"/>
    <w:tblPr>
      <w:tblInd w:w="950" w:type="dxa"/>
    </w:tblPr>
    <w:tcPr>
      <w:shd w:val="clear" w:color="auto" w:fill="auto"/>
    </w:tcPr>
  </w:style>
  <w:style w:type="table" w:customStyle="1" w:styleId="TableNoRule4537eb154-6524-4ecb-b3ba-dc7765e38bbd">
    <w:name w:val="Table NoRule 4_537eb154-6524-4ecb-b3ba-dc7765e38bbd"/>
    <w:basedOn w:val="TableNoRule356147b7a-c879-4801-be60-21bc4b034445"/>
    <w:uiPriority w:val="99"/>
    <w:tblPr>
      <w:tblInd w:w="1440" w:type="dxa"/>
    </w:tblPr>
    <w:tcPr>
      <w:shd w:val="clear" w:color="auto" w:fill="auto"/>
    </w:tcPr>
  </w:style>
  <w:style w:type="table" w:customStyle="1" w:styleId="TableNoRule5e80dd5d1-e4f5-4211-8552-6bfade08af6f">
    <w:name w:val="Table NoRule 5_e80dd5d1-e4f5-4211-8552-6bfade08af6f"/>
    <w:basedOn w:val="TableNoRule4537eb154-6524-4ecb-b3ba-dc7765e38bbd"/>
    <w:uiPriority w:val="99"/>
    <w:tblPr>
      <w:tblInd w:w="1915" w:type="dxa"/>
    </w:tblPr>
    <w:tcPr>
      <w:shd w:val="clear" w:color="auto" w:fill="auto"/>
    </w:tcPr>
  </w:style>
  <w:style w:type="table" w:customStyle="1" w:styleId="TableNoRule6c4dd7c34-8d1d-4169-8515-72ff1d1db2d3">
    <w:name w:val="Table NoRule 6_c4dd7c34-8d1d-4169-8515-72ff1d1db2d3"/>
    <w:basedOn w:val="TableNoRule5e80dd5d1-e4f5-4211-8552-6bfade08af6f"/>
    <w:uiPriority w:val="99"/>
    <w:tblPr>
      <w:tblInd w:w="2390" w:type="dxa"/>
    </w:tblPr>
    <w:tcPr>
      <w:shd w:val="clear" w:color="auto" w:fill="auto"/>
    </w:tcPr>
  </w:style>
  <w:style w:type="table" w:customStyle="1" w:styleId="TableNoRule75f340be7-e4d6-4524-a7f1-cf6bed016591">
    <w:name w:val="Table NoRule 7_5f340be7-e4d6-4524-a7f1-cf6bed016591"/>
    <w:basedOn w:val="TableNoRule6c4dd7c34-8d1d-4169-8515-72ff1d1db2d3"/>
    <w:uiPriority w:val="99"/>
    <w:tblPr>
      <w:tblInd w:w="2880" w:type="dxa"/>
    </w:tblPr>
    <w:tcPr>
      <w:shd w:val="clear" w:color="auto" w:fill="auto"/>
    </w:tcPr>
  </w:style>
  <w:style w:type="table" w:customStyle="1" w:styleId="TableNoRule8">
    <w:name w:val="Table NoRule 8"/>
    <w:basedOn w:val="TableNoRule75f340be7-e4d6-4524-a7f1-cf6bed016591"/>
    <w:uiPriority w:val="99"/>
    <w:tblPr>
      <w:tblInd w:w="3355" w:type="dxa"/>
    </w:tblPr>
    <w:tcPr>
      <w:shd w:val="clear" w:color="auto" w:fill="auto"/>
    </w:tcPr>
  </w:style>
  <w:style w:type="table" w:customStyle="1" w:styleId="NormalTable06289a3b-0af8-469a-93d3-d444b05f1e37">
    <w:name w:val="Normal Table_06289a3b-0af8-469a-93d3-d444b05f1e37"/>
    <w:uiPriority w:val="99"/>
    <w:semiHidden/>
    <w:unhideWhenUsed/>
    <w:tblPr>
      <w:tblInd w:w="0" w:type="dxa"/>
      <w:tblCellMar>
        <w:top w:w="0" w:type="dxa"/>
        <w:left w:w="108" w:type="dxa"/>
        <w:bottom w:w="0" w:type="dxa"/>
        <w:right w:w="108" w:type="dxa"/>
      </w:tblCellMar>
    </w:tblPr>
  </w:style>
  <w:style w:type="table" w:customStyle="1" w:styleId="TableNoRule12573c603-7c70-4a12-9ea9-4ad4016762bd">
    <w:name w:val="Table NoRule 1_2573c603-7c70-4a12-9ea9-4ad4016762bd"/>
    <w:basedOn w:val="NormalTable06289a3b-0af8-469a-93d3-d444b05f1e37"/>
    <w:uiPriority w:val="99"/>
    <w:pPr>
      <w:spacing w:before="0" w:after="0"/>
      <w:jc w:val="left"/>
    </w:pPr>
    <w:tblPr>
      <w:tblCellMar>
        <w:left w:w="0" w:type="dxa"/>
        <w:right w:w="0" w:type="dxa"/>
      </w:tblCellMar>
    </w:tblPr>
    <w:tcPr>
      <w:shd w:val="clear" w:color="auto" w:fill="auto"/>
    </w:tcPr>
  </w:style>
  <w:style w:type="table" w:customStyle="1" w:styleId="TableNoRule2b8e46f12-6593-49e2-ab26-5afb49672d88">
    <w:name w:val="Table NoRule 2_b8e46f12-6593-49e2-ab26-5afb49672d88"/>
    <w:basedOn w:val="TableNoRule12573c603-7c70-4a12-9ea9-4ad4016762bd"/>
    <w:uiPriority w:val="99"/>
    <w:tblPr>
      <w:tblInd w:w="475" w:type="dxa"/>
    </w:tblPr>
    <w:tcPr>
      <w:shd w:val="clear" w:color="auto" w:fill="auto"/>
    </w:tcPr>
  </w:style>
  <w:style w:type="table" w:customStyle="1" w:styleId="TableNoRule342add7d0-6106-45f4-87e7-29128c3428c1">
    <w:name w:val="Table NoRule 3_42add7d0-6106-45f4-87e7-29128c3428c1"/>
    <w:basedOn w:val="TableNoRule2b8e46f12-6593-49e2-ab26-5afb49672d88"/>
    <w:uiPriority w:val="99"/>
    <w:tblPr>
      <w:tblInd w:w="950" w:type="dxa"/>
    </w:tblPr>
    <w:tcPr>
      <w:shd w:val="clear" w:color="auto" w:fill="auto"/>
    </w:tcPr>
  </w:style>
  <w:style w:type="table" w:customStyle="1" w:styleId="TableNoRule4717e5c9c-025c-43e2-905f-c66038edadb6">
    <w:name w:val="Table NoRule 4_717e5c9c-025c-43e2-905f-c66038edadb6"/>
    <w:basedOn w:val="TableNoRule342add7d0-6106-45f4-87e7-29128c3428c1"/>
    <w:uiPriority w:val="99"/>
    <w:tblPr>
      <w:tblInd w:w="1440" w:type="dxa"/>
    </w:tblPr>
    <w:tcPr>
      <w:shd w:val="clear" w:color="auto" w:fill="auto"/>
    </w:tcPr>
  </w:style>
  <w:style w:type="table" w:customStyle="1" w:styleId="TableNoRule5848d0f47-a237-460a-9adc-2aef23a382b8">
    <w:name w:val="Table NoRule 5_848d0f47-a237-460a-9adc-2aef23a382b8"/>
    <w:basedOn w:val="TableNoRule4717e5c9c-025c-43e2-905f-c66038edadb6"/>
    <w:uiPriority w:val="99"/>
    <w:tblPr>
      <w:tblInd w:w="1915" w:type="dxa"/>
    </w:tblPr>
    <w:tcPr>
      <w:shd w:val="clear" w:color="auto" w:fill="auto"/>
    </w:tcPr>
  </w:style>
  <w:style w:type="table" w:customStyle="1" w:styleId="TableNoRule6cd13768d-e076-4698-9e7d-ce598d8a7f38">
    <w:name w:val="Table NoRule 6_cd13768d-e076-4698-9e7d-ce598d8a7f38"/>
    <w:basedOn w:val="TableNoRule5848d0f47-a237-460a-9adc-2aef23a382b8"/>
    <w:uiPriority w:val="99"/>
    <w:tblPr>
      <w:tblInd w:w="2390" w:type="dxa"/>
    </w:tblPr>
    <w:tcPr>
      <w:shd w:val="clear" w:color="auto" w:fill="auto"/>
    </w:tcPr>
  </w:style>
  <w:style w:type="table" w:customStyle="1" w:styleId="TableNoRule7035bfa83-209c-45c1-a7f7-1b0bc18664e0">
    <w:name w:val="Table NoRule 7_035bfa83-209c-45c1-a7f7-1b0bc18664e0"/>
    <w:basedOn w:val="TableNoRule6cd13768d-e076-4698-9e7d-ce598d8a7f38"/>
    <w:uiPriority w:val="99"/>
    <w:tblPr>
      <w:tblInd w:w="2880" w:type="dxa"/>
    </w:tblPr>
    <w:tcPr>
      <w:shd w:val="clear" w:color="auto" w:fill="auto"/>
    </w:tcPr>
  </w:style>
  <w:style w:type="table" w:customStyle="1" w:styleId="TableNoRule8e1246c93-f798-4143-9ad0-815c8d3cac02">
    <w:name w:val="Table NoRule 8_e1246c93-f798-4143-9ad0-815c8d3cac02"/>
    <w:basedOn w:val="TableNoRule7035bfa83-209c-45c1-a7f7-1b0bc18664e0"/>
    <w:uiPriority w:val="99"/>
    <w:tblPr>
      <w:tblInd w:w="3355" w:type="dxa"/>
    </w:tblPr>
    <w:tcPr>
      <w:shd w:val="clear" w:color="auto" w:fill="auto"/>
    </w:tcPr>
  </w:style>
  <w:style w:type="table" w:customStyle="1" w:styleId="TableNoRule9">
    <w:name w:val="Table NoRule 9"/>
    <w:basedOn w:val="TableNoRule8e1246c93-f798-4143-9ad0-815c8d3cac02"/>
    <w:uiPriority w:val="99"/>
    <w:tblPr>
      <w:tblInd w:w="3830" w:type="dxa"/>
    </w:tblPr>
    <w:tcPr>
      <w:shd w:val="clear" w:color="auto" w:fill="auto"/>
    </w:tc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5399</Words>
  <Characters>30780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City of Baytown</Company>
  <LinksUpToDate>false</LinksUpToDate>
  <CharactersWithSpaces>36107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Nai.Mongiello</dc:creator>
  <cp:lastModifiedBy>Nai.Mongiello</cp:lastModifiedBy>
  <cp:revision>2</cp:revision>
  <dcterms:created xsi:type="dcterms:W3CDTF">2021-08-27T17:36:00Z</dcterms:created>
  <dcterms:modified xsi:type="dcterms:W3CDTF">2021-08-27T17:36:00Z</dcterms:modified>
</cp:coreProperties>
</file>