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1000125"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00125" cy="1047750"/>
                    </a:xfrm>
                    <a:prstGeom prst="rect">
                      <a:avLst/>
                    </a:prstGeom>
                  </pic:spPr>
                </pic:pic>
              </a:graphicData>
            </a:graphic>
          </wp:inline>
        </w:drawing>
      </w:r>
    </w:p>
    <w:p>
      <w:pPr>
        <w:pBdr>
          <w:bottom w:val="single" w:color="2E75B6" w:sz="6" w:space="6"/>
        </w:pBdr>
        <w:spacing w:after="120"/>
        <w:jc w:val="center"/>
      </w:pPr>
      <w:r>
        <w:rPr>
          <w:b/>
          <w:bCs/>
          <w:color w:val="2E75B6"/>
          <w:spacing w:val="30"/>
          <w:sz w:val="20"/>
          <w:szCs w:val="20"/>
        </w:rPr>
        <w:t xml:space="preserve">FOR LEASE</w:t>
      </w:r>
    </w:p>
    <w:p>
      <w:pPr>
        <w:pStyle w:val="Heading1"/>
        <w:jc w:val="center"/>
      </w:pPr>
      <w:r>
        <w:t xml:space="preserve">162 Business Centre Cir</w:t>
      </w:r>
    </w:p>
    <w:p>
      <w:pPr>
        <w:spacing w:after="120"/>
        <w:jc w:val="center"/>
      </w:pPr>
      <w:r>
        <w:rPr>
          <w:color w:val="444444"/>
          <w:sz w:val="24"/>
          <w:szCs w:val="24"/>
        </w:rPr>
        <w:t xml:space="preserve">Driggs, ID 83422  •  Industrial Space</w:t>
      </w:r>
    </w:p>
    <w:p>
      <w:pPr>
        <w:spacing w:after="120" w:before="80"/>
      </w:pPr>
      <w:r>
        <w:t xml:space="preserve">Industrial space now available in Driggs, Idaho, in the heart of Teton Valley. This ±6,000 SF unit at 162 Business Centre Cir offers functional industrial space well-suited for warehousing, distribution, light manufacturing, fabrication, or trades and contractor operations.</w:t>
      </w:r>
    </w:p>
    <w:p>
      <w:pPr>
        <w:spacing w:after="80"/>
      </w:pPr>
      <w:r>
        <w:t xml:space="preserve">Located minutes from downtown Driggs and just over Teton Pass from Jackson Hole, the property offers convenient access for serving both the Idaho and Wyoming sides of the valley, with on-site parking and proximity to the area’s growing business community.</w:t>
      </w:r>
    </w:p>
    <w:p>
      <w:pPr>
        <w:spacing w:after="80"/>
      </w:pPr>
      <w:r>
        <w:t xml:space="preserve">The space features three 16’ x 16’ overhead doors and one 14’ x 14’ overhead door with an adjacent walk-in door, providing excellent drive-in access for equipment, vehicles, and freight. The unit is heated for year-round operation, and buildouts are negotiable to suit your business needs.</w:t>
      </w:r>
    </w:p>
    <w:p>
      <w:pPr>
        <w:pStyle w:val="Heading2"/>
      </w:pPr>
      <w:r>
        <w:t xml:space="preserve">Lease Details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6360"/>
      </w:tblGrid>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Available SF</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±6,000 SF</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Overhead Doors</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Three 16’ x 16’ + one 14’ x 14’ (with walk-in door)</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Heating</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Heated space</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Lease Rate</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$18.00 / SF / yr (Modified Gross)</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Lease Type</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Modified Gross — lease rate plus electric and gas</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Space Type</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Industrial</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Parking</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10 spaces</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Zoning</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Industrial</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Buildouts</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Negotiable</w:t>
            </w:r>
          </w:p>
        </w:tc>
      </w:tr>
      <w:tr>
        <w:tc>
          <w:tcPr>
            <w:tcW w:type="dxa" w:w="3000"/>
            <w:tcBorders>
              <w:top w:val="single" w:color="CCCCCC" w:sz="1"/>
              <w:left w:val="single" w:color="CCCCCC" w:sz="1"/>
              <w:bottom w:val="single" w:color="CCCCCC" w:sz="1"/>
              <w:right w:val="single" w:color="CCCCCC" w:sz="1"/>
            </w:tcBorders>
            <w:shd w:fill="EDF2F7" w:val="clear"/>
            <w:tcMar>
              <w:top w:type="dxa" w:w="80"/>
              <w:left w:type="dxa" w:w="120"/>
              <w:bottom w:type="dxa" w:w="80"/>
              <w:right w:type="dxa" w:w="120"/>
            </w:tcMar>
          </w:tcPr>
          <w:p>
            <w:r>
              <w:rPr>
                <w:b/>
                <w:bCs/>
                <w:color w:val="1F3A5F"/>
              </w:rPr>
              <w:t xml:space="preserve">Availability</w:t>
            </w:r>
          </w:p>
        </w:tc>
        <w:tc>
          <w:tcPr>
            <w:tcW w:type="dxa" w:w="63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color w:val="444444"/>
              </w:rPr>
              <w:t xml:space="preserve">Now</w:t>
            </w:r>
          </w:p>
        </w:tc>
      </w:tr>
    </w:tbl>
    <w:p>
      <w:pPr>
        <w:spacing w:after="140" w:before="140"/>
      </w:pPr>
      <w:r>
        <w:t xml:space="preserve">Ideal for contractors, distributors, fabricators, or any business needing flexible industrial space in one of the region’s fastest-growing markets.</w:t>
      </w:r>
    </w:p>
    <w:p>
      <w:pPr>
        <w:pStyle w:val="Heading2"/>
      </w:pPr>
      <w:r>
        <w:t xml:space="preserve">Contact</w:t>
      </w:r>
    </w:p>
    <w:tbl>
      <w:tblPr>
        <w:tblW w:type="dxa" w:w="9360"/>
        <w:tblBorders>
          <w:top w:val="none"/>
          <w:left w:val="none"/>
          <w:bottom w:val="none"/>
          <w:right w:val="none"/>
          <w:insideH w:val="none"/>
          <w:insideV w:val="none"/>
        </w:tblBorders>
      </w:tblPr>
      <w:tblGrid>
        <w:gridCol w:w="1700"/>
        <w:gridCol w:w="7660"/>
      </w:tblGrid>
      <w:tr>
        <w:tc>
          <w:tcPr>
            <w:tcW w:type="dxa" w:w="1700"/>
            <w:tcMar>
              <w:top w:type="dxa" w:w="0"/>
              <w:left w:type="dxa" w:w="0"/>
              <w:bottom w:type="dxa" w:w="0"/>
              <w:right w:type="dxa" w:w="160"/>
            </w:tcMar>
          </w:tcPr>
          <w:p>
            <w:r>
              <w:drawing>
                <wp:inline distT="0" distB="0" distL="0" distR="0">
                  <wp:extent cx="809625" cy="12096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809625" cy="1209675"/>
                          </a:xfrm>
                          <a:prstGeom prst="rect">
                            <a:avLst/>
                          </a:prstGeom>
                        </pic:spPr>
                      </pic:pic>
                    </a:graphicData>
                  </a:graphic>
                </wp:inline>
              </w:drawing>
            </w:r>
          </w:p>
        </w:tc>
        <w:tc>
          <w:tcPr>
            <w:tcW w:type="dxa" w:w="7660"/>
            <w:tcMar>
              <w:top w:type="dxa" w:w="0"/>
              <w:left w:type="dxa" w:w="0"/>
              <w:bottom w:type="dxa" w:w="0"/>
              <w:right w:type="dxa" w:w="0"/>
            </w:tcMar>
            <w:vAlign w:val="center"/>
          </w:tcPr>
          <w:p>
            <w:pPr>
              <w:spacing w:after="30"/>
            </w:pPr>
            <w:r>
              <w:rPr>
                <w:b/>
                <w:bCs/>
                <w:color w:val="1F3A5F"/>
                <w:sz w:val="26"/>
                <w:szCs w:val="26"/>
              </w:rPr>
              <w:t xml:space="preserve">Christopher Baugh</w:t>
            </w:r>
          </w:p>
          <w:p>
            <w:pPr>
              <w:spacing w:after="30"/>
            </w:pPr>
            <w:r>
              <w:rPr>
                <w:color w:val="2E75B6"/>
                <w:sz w:val="22"/>
                <w:szCs w:val="22"/>
              </w:rPr>
              <w:t xml:space="preserve">Wealth Wise West</w:t>
            </w:r>
          </w:p>
          <w:p>
            <w:pPr>
              <w:spacing w:after="20"/>
            </w:pPr>
            <w:r>
              <w:t xml:space="preserve">307-249-7514</w:t>
            </w:r>
          </w:p>
          <w:p>
            <w:r>
              <w:t xml:space="preserve">chris@wealthwisewest.com</w:t>
            </w:r>
          </w:p>
        </w:tc>
      </w:tr>
    </w:tbl>
    <w:sectPr>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444444"/>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60" w:before="0"/>
      <w:outlineLvl w:val="0"/>
    </w:pPr>
    <w:rPr>
      <w:rFonts w:ascii="Arial" w:cs="Arial" w:eastAsia="Arial" w:hAnsi="Arial"/>
      <w:b/>
      <w:bCs/>
      <w:color w:val="1F3A5F"/>
      <w:sz w:val="36"/>
      <w:szCs w:val="36"/>
    </w:rPr>
  </w:style>
  <w:style w:type="paragraph" w:styleId="Heading2">
    <w:name w:val="Heading 2"/>
    <w:basedOn w:val="Normal"/>
    <w:next w:val="Normal"/>
    <w:qFormat/>
    <w:pPr>
      <w:spacing w:after="80" w:before="160"/>
      <w:outlineLvl w:val="1"/>
    </w:pPr>
    <w:rPr>
      <w:rFonts w:ascii="Arial" w:cs="Arial" w:eastAsia="Arial" w:hAnsi="Arial"/>
      <w:b/>
      <w:bCs/>
      <w:color w:val="1F3A5F"/>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926317b027d79c186239cdf34aeb3d7e5208fcc9.png"/><Relationship Id="rId8" Type="http://schemas.openxmlformats.org/officeDocument/2006/relationships/image" Target="media/c4b98208c509c2d0a6d85c6ba996b37d4684a6ac.jpg"/><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2026-06-30T15:42:43.959Z</dcterms:created>
  <dcterms:modified xsi:type="dcterms:W3CDTF">2026-06-30T15:42:43.959Z</dcterms:modified>
</cp:coreProperties>
</file>

<file path=docProps/custom.xml><?xml version="1.0" encoding="utf-8"?>
<Properties xmlns="http://schemas.openxmlformats.org/officeDocument/2006/custom-properties" xmlns:vt="http://schemas.openxmlformats.org/officeDocument/2006/docPropsVTypes"/>
</file>