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205C06" w14:textId="77777777" w:rsidR="00EE4A51" w:rsidRPr="00EE4A51" w:rsidRDefault="00EE4A51" w:rsidP="00EE4A51">
      <w:pPr>
        <w:shd w:val="clear" w:color="auto" w:fill="FFFFFF"/>
        <w:spacing w:after="0" w:line="240" w:lineRule="auto"/>
        <w:rPr>
          <w:rFonts w:ascii="Open Sans" w:eastAsia="Times New Roman" w:hAnsi="Open Sans" w:cs="Open Sans"/>
          <w:color w:val="096FCC"/>
          <w:kern w:val="0"/>
          <w:sz w:val="21"/>
          <w:szCs w:val="21"/>
          <w14:ligatures w14:val="none"/>
        </w:rPr>
      </w:pPr>
      <w:r w:rsidRPr="00EE4A51">
        <w:rPr>
          <w:rFonts w:ascii="Open Sans" w:eastAsia="Times New Roman" w:hAnsi="Open Sans" w:cs="Open Sans"/>
          <w:color w:val="096FCC"/>
          <w:kern w:val="0"/>
          <w:sz w:val="21"/>
          <w:szCs w:val="21"/>
          <w14:ligatures w14:val="none"/>
        </w:rPr>
        <w:fldChar w:fldCharType="begin"/>
      </w:r>
      <w:r w:rsidRPr="00EE4A51">
        <w:rPr>
          <w:rFonts w:ascii="Open Sans" w:eastAsia="Times New Roman" w:hAnsi="Open Sans" w:cs="Open Sans"/>
          <w:color w:val="096FCC"/>
          <w:kern w:val="0"/>
          <w:sz w:val="21"/>
          <w:szCs w:val="21"/>
          <w14:ligatures w14:val="none"/>
        </w:rPr>
        <w:instrText>HYPERLINK "https://library.municode.com/va/winchester/codes/zoning_and_subdivision_ordinance?nodeId=ZOOR_ART9CEBUDI-1_S9-9SPPRTODI"</w:instrText>
      </w:r>
      <w:r w:rsidRPr="00EE4A51">
        <w:rPr>
          <w:rFonts w:ascii="Open Sans" w:eastAsia="Times New Roman" w:hAnsi="Open Sans" w:cs="Open Sans"/>
          <w:color w:val="096FCC"/>
          <w:kern w:val="0"/>
          <w:sz w:val="21"/>
          <w:szCs w:val="21"/>
          <w14:ligatures w14:val="none"/>
        </w:rPr>
      </w:r>
      <w:r w:rsidRPr="00EE4A51">
        <w:rPr>
          <w:rFonts w:ascii="Open Sans" w:eastAsia="Times New Roman" w:hAnsi="Open Sans" w:cs="Open Sans"/>
          <w:color w:val="096FCC"/>
          <w:kern w:val="0"/>
          <w:sz w:val="21"/>
          <w:szCs w:val="21"/>
          <w14:ligatures w14:val="none"/>
        </w:rPr>
        <w:fldChar w:fldCharType="separate"/>
      </w:r>
      <w:r w:rsidRPr="00EE4A51">
        <w:rPr>
          <w:rFonts w:ascii="Open Sans" w:eastAsia="Times New Roman" w:hAnsi="Open Sans" w:cs="Open Sans"/>
          <w:color w:val="0000FF"/>
          <w:kern w:val="0"/>
          <w:sz w:val="21"/>
          <w:szCs w:val="21"/>
          <w:u w:val="single"/>
          <w14:ligatures w14:val="none"/>
        </w:rPr>
        <w:t xml:space="preserve"> Sec. 9-9. - Special provisions for townhouses in the B-1 </w:t>
      </w:r>
      <w:proofErr w:type="spellStart"/>
      <w:r w:rsidRPr="00EE4A51">
        <w:rPr>
          <w:rFonts w:ascii="Open Sans" w:eastAsia="Times New Roman" w:hAnsi="Open Sans" w:cs="Open Sans"/>
          <w:color w:val="0000FF"/>
          <w:kern w:val="0"/>
          <w:sz w:val="21"/>
          <w:szCs w:val="21"/>
          <w:u w:val="single"/>
          <w14:ligatures w14:val="none"/>
        </w:rPr>
        <w:t>district.</w:t>
      </w:r>
      <w:r w:rsidRPr="00EE4A51">
        <w:rPr>
          <w:rFonts w:ascii="Open Sans" w:eastAsia="Times New Roman" w:hAnsi="Open Sans" w:cs="Open Sans"/>
          <w:color w:val="096FCC"/>
          <w:kern w:val="0"/>
          <w:sz w:val="21"/>
          <w:szCs w:val="21"/>
          <w14:ligatures w14:val="none"/>
        </w:rPr>
        <w:fldChar w:fldCharType="end"/>
      </w:r>
      <w:hyperlink r:id="rId5" w:history="1">
        <w:r w:rsidRPr="00EE4A51">
          <w:rPr>
            <w:rFonts w:ascii="Open Sans" w:eastAsia="Times New Roman" w:hAnsi="Open Sans" w:cs="Open Sans"/>
            <w:color w:val="0000FF"/>
            <w:kern w:val="0"/>
            <w:sz w:val="21"/>
            <w:szCs w:val="21"/>
            <w:u w:val="single"/>
            <w14:ligatures w14:val="none"/>
          </w:rPr>
          <w:t>ARTICLE</w:t>
        </w:r>
        <w:proofErr w:type="spellEnd"/>
        <w:r w:rsidRPr="00EE4A51">
          <w:rPr>
            <w:rFonts w:ascii="Open Sans" w:eastAsia="Times New Roman" w:hAnsi="Open Sans" w:cs="Open Sans"/>
            <w:color w:val="0000FF"/>
            <w:kern w:val="0"/>
            <w:sz w:val="21"/>
            <w:szCs w:val="21"/>
            <w:u w:val="single"/>
            <w14:ligatures w14:val="none"/>
          </w:rPr>
          <w:t xml:space="preserve"> 11 - LIMITED INDUSTRIAL DISTRICT—M-1 </w:t>
        </w:r>
      </w:hyperlink>
    </w:p>
    <w:p w14:paraId="48774964" w14:textId="77777777" w:rsidR="00EE4A51" w:rsidRPr="00EE4A51" w:rsidRDefault="00EE4A51" w:rsidP="00EE4A51">
      <w:pPr>
        <w:numPr>
          <w:ilvl w:val="0"/>
          <w:numId w:val="1"/>
        </w:numPr>
        <w:shd w:val="clear" w:color="auto" w:fill="FFFFFF"/>
        <w:spacing w:before="100" w:beforeAutospacing="1" w:after="100" w:afterAutospacing="1" w:line="450" w:lineRule="atLeast"/>
        <w:textAlignment w:val="center"/>
        <w:rPr>
          <w:rFonts w:ascii="Open Sans" w:eastAsia="Times New Roman" w:hAnsi="Open Sans" w:cs="Open Sans"/>
          <w:b/>
          <w:bCs/>
          <w:color w:val="313335"/>
          <w:kern w:val="0"/>
          <w:sz w:val="30"/>
          <w:szCs w:val="30"/>
          <w14:ligatures w14:val="none"/>
        </w:rPr>
      </w:pPr>
      <w:r w:rsidRPr="00EE4A51">
        <w:rPr>
          <w:rFonts w:ascii="Open Sans" w:eastAsia="Times New Roman" w:hAnsi="Open Sans" w:cs="Open Sans"/>
          <w:b/>
          <w:bCs/>
          <w:color w:val="313335"/>
          <w:kern w:val="0"/>
          <w:sz w:val="30"/>
          <w:szCs w:val="30"/>
          <w14:ligatures w14:val="none"/>
        </w:rPr>
        <w:t>ARTICLE 10 - COMMERCIAL INDUSTRIAL DISTRICT—CM-1</w:t>
      </w:r>
    </w:p>
    <w:p w14:paraId="23475ACB" w14:textId="77777777" w:rsidR="00EE4A51" w:rsidRPr="00EE4A51" w:rsidRDefault="00EE4A51" w:rsidP="00EE4A51">
      <w:pPr>
        <w:shd w:val="clear" w:color="auto" w:fill="FFFFFF"/>
        <w:spacing w:beforeAutospacing="1" w:after="0" w:afterAutospacing="1" w:line="240" w:lineRule="auto"/>
        <w:ind w:left="720"/>
        <w:textAlignment w:val="center"/>
        <w:rPr>
          <w:rFonts w:ascii="Open Sans" w:eastAsia="Times New Roman" w:hAnsi="Open Sans" w:cs="Open Sans"/>
          <w:b/>
          <w:bCs/>
          <w:color w:val="096FCC"/>
          <w:kern w:val="0"/>
          <w:sz w:val="21"/>
          <w:szCs w:val="21"/>
          <w14:ligatures w14:val="none"/>
        </w:rPr>
      </w:pPr>
      <w:hyperlink r:id="rId6" w:history="1">
        <w:r w:rsidRPr="00EE4A51">
          <w:rPr>
            <w:rFonts w:ascii="Open Sans" w:eastAsia="Times New Roman" w:hAnsi="Open Sans" w:cs="Open Sans"/>
            <w:b/>
            <w:bCs/>
            <w:caps/>
            <w:color w:val="096FCC"/>
            <w:kern w:val="0"/>
            <w:sz w:val="21"/>
            <w:szCs w:val="21"/>
            <w:u w:val="single"/>
            <w:bdr w:val="none" w:sz="0" w:space="0" w:color="auto" w:frame="1"/>
            <w14:ligatures w14:val="none"/>
          </w:rPr>
          <w:t>SHARE LINK TO SECTION</w:t>
        </w:r>
      </w:hyperlink>
      <w:hyperlink r:id="rId7" w:history="1">
        <w:r w:rsidRPr="00EE4A51">
          <w:rPr>
            <w:rFonts w:ascii="Open Sans" w:eastAsia="Times New Roman" w:hAnsi="Open Sans" w:cs="Open Sans"/>
            <w:b/>
            <w:bCs/>
            <w:caps/>
            <w:color w:val="096FCC"/>
            <w:kern w:val="0"/>
            <w:sz w:val="21"/>
            <w:szCs w:val="21"/>
            <w:u w:val="single"/>
            <w:bdr w:val="none" w:sz="0" w:space="0" w:color="auto" w:frame="1"/>
            <w14:ligatures w14:val="none"/>
          </w:rPr>
          <w:t>PRINT SECTION</w:t>
        </w:r>
      </w:hyperlink>
      <w:hyperlink r:id="rId8" w:history="1">
        <w:r w:rsidRPr="00EE4A51">
          <w:rPr>
            <w:rFonts w:ascii="Open Sans" w:eastAsia="Times New Roman" w:hAnsi="Open Sans" w:cs="Open Sans"/>
            <w:b/>
            <w:bCs/>
            <w:caps/>
            <w:color w:val="096FCC"/>
            <w:kern w:val="0"/>
            <w:sz w:val="21"/>
            <w:szCs w:val="21"/>
            <w:u w:val="single"/>
            <w:bdr w:val="none" w:sz="0" w:space="0" w:color="auto" w:frame="1"/>
            <w14:ligatures w14:val="none"/>
          </w:rPr>
          <w:t>DOWNLOAD (DOCX) OF SECTIONS</w:t>
        </w:r>
      </w:hyperlink>
      <w:hyperlink r:id="rId9" w:history="1">
        <w:r w:rsidRPr="00EE4A51">
          <w:rPr>
            <w:rFonts w:ascii="Open Sans" w:eastAsia="Times New Roman" w:hAnsi="Open Sans" w:cs="Open Sans"/>
            <w:b/>
            <w:bCs/>
            <w:caps/>
            <w:color w:val="096FCC"/>
            <w:kern w:val="0"/>
            <w:sz w:val="21"/>
            <w:szCs w:val="21"/>
            <w:u w:val="single"/>
            <w:bdr w:val="none" w:sz="0" w:space="0" w:color="auto" w:frame="1"/>
            <w14:ligatures w14:val="none"/>
          </w:rPr>
          <w:t>EMAIL SECTION</w:t>
        </w:r>
      </w:hyperlink>
      <w:hyperlink r:id="rId10" w:history="1">
        <w:r w:rsidRPr="00EE4A51">
          <w:rPr>
            <w:rFonts w:ascii="Open Sans" w:eastAsia="Times New Roman" w:hAnsi="Open Sans" w:cs="Open Sans"/>
            <w:b/>
            <w:bCs/>
            <w:caps/>
            <w:color w:val="096FCC"/>
            <w:kern w:val="0"/>
            <w:sz w:val="21"/>
            <w:szCs w:val="21"/>
            <w:u w:val="single"/>
            <w:bdr w:val="none" w:sz="0" w:space="0" w:color="auto" w:frame="1"/>
            <w14:ligatures w14:val="none"/>
          </w:rPr>
          <w:t>COMPARE VERSIONS</w:t>
        </w:r>
      </w:hyperlink>
    </w:p>
    <w:p w14:paraId="0372F2F2" w14:textId="77777777" w:rsidR="00EE4A51" w:rsidRPr="00EE4A51" w:rsidRDefault="00EE4A51" w:rsidP="00EE4A51">
      <w:pPr>
        <w:shd w:val="clear" w:color="auto" w:fill="FFFFFF"/>
        <w:spacing w:after="195" w:line="240" w:lineRule="auto"/>
        <w:ind w:left="720"/>
        <w:jc w:val="center"/>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b/>
          <w:bCs/>
          <w:color w:val="313335"/>
          <w:spacing w:val="2"/>
          <w:kern w:val="0"/>
          <w:sz w:val="21"/>
          <w:szCs w:val="21"/>
          <w14:ligatures w14:val="none"/>
        </w:rPr>
        <w:t>STATEMENT OF INTENT</w:t>
      </w:r>
    </w:p>
    <w:p w14:paraId="6BDECF2E" w14:textId="77777777" w:rsidR="00EE4A51" w:rsidRPr="00EE4A51" w:rsidRDefault="00EE4A51" w:rsidP="00EE4A51">
      <w:pPr>
        <w:shd w:val="clear" w:color="auto" w:fill="FFFFFF"/>
        <w:spacing w:before="100" w:beforeAutospacing="1" w:after="100" w:afterAutospacing="1"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 xml:space="preserve">The intent of this district is to allow a mixture of commercial and light industrial uses in those areas of the </w:t>
      </w:r>
      <w:proofErr w:type="gramStart"/>
      <w:r w:rsidRPr="00EE4A51">
        <w:rPr>
          <w:rFonts w:ascii="Open Sans" w:eastAsia="Times New Roman" w:hAnsi="Open Sans" w:cs="Open Sans"/>
          <w:color w:val="313335"/>
          <w:spacing w:val="2"/>
          <w:kern w:val="0"/>
          <w:sz w:val="21"/>
          <w:szCs w:val="21"/>
          <w14:ligatures w14:val="none"/>
        </w:rPr>
        <w:t>City</w:t>
      </w:r>
      <w:proofErr w:type="gramEnd"/>
      <w:r w:rsidRPr="00EE4A51">
        <w:rPr>
          <w:rFonts w:ascii="Open Sans" w:eastAsia="Times New Roman" w:hAnsi="Open Sans" w:cs="Open Sans"/>
          <w:color w:val="313335"/>
          <w:spacing w:val="2"/>
          <w:kern w:val="0"/>
          <w:sz w:val="21"/>
          <w:szCs w:val="21"/>
          <w14:ligatures w14:val="none"/>
        </w:rPr>
        <w:t xml:space="preserve"> that currently contain a mixture of such uses. Industrial uses allowed are those that are relatively free from offense. </w:t>
      </w:r>
      <w:proofErr w:type="gramStart"/>
      <w:r w:rsidRPr="00EE4A51">
        <w:rPr>
          <w:rFonts w:ascii="Open Sans" w:eastAsia="Times New Roman" w:hAnsi="Open Sans" w:cs="Open Sans"/>
          <w:color w:val="313335"/>
          <w:spacing w:val="2"/>
          <w:kern w:val="0"/>
          <w:sz w:val="21"/>
          <w:szCs w:val="21"/>
          <w14:ligatures w14:val="none"/>
        </w:rPr>
        <w:t>In order to</w:t>
      </w:r>
      <w:proofErr w:type="gramEnd"/>
      <w:r w:rsidRPr="00EE4A51">
        <w:rPr>
          <w:rFonts w:ascii="Open Sans" w:eastAsia="Times New Roman" w:hAnsi="Open Sans" w:cs="Open Sans"/>
          <w:color w:val="313335"/>
          <w:spacing w:val="2"/>
          <w:kern w:val="0"/>
          <w:sz w:val="21"/>
          <w:szCs w:val="21"/>
          <w14:ligatures w14:val="none"/>
        </w:rPr>
        <w:t xml:space="preserve"> avoid future conflicts between industry and residence, new residential uses are prohibited.</w:t>
      </w:r>
    </w:p>
    <w:p w14:paraId="5DBF0A6D" w14:textId="77777777" w:rsidR="00EE4A51" w:rsidRPr="00EE4A51" w:rsidRDefault="00EE4A51" w:rsidP="00EE4A51">
      <w:pPr>
        <w:shd w:val="clear" w:color="auto" w:fill="FFFFFF"/>
        <w:spacing w:beforeAutospacing="1" w:after="0" w:afterAutospacing="1" w:line="240" w:lineRule="auto"/>
        <w:ind w:left="720"/>
        <w:rPr>
          <w:rFonts w:ascii="Open Sans" w:eastAsia="Times New Roman" w:hAnsi="Open Sans" w:cs="Open Sans"/>
          <w:color w:val="313335"/>
          <w:kern w:val="0"/>
          <w:sz w:val="21"/>
          <w:szCs w:val="21"/>
          <w14:ligatures w14:val="none"/>
        </w:rPr>
      </w:pPr>
    </w:p>
    <w:p w14:paraId="04FFD50A" w14:textId="77777777" w:rsidR="00EE4A51" w:rsidRPr="00EE4A51" w:rsidRDefault="00EE4A51" w:rsidP="00EE4A51">
      <w:pPr>
        <w:numPr>
          <w:ilvl w:val="0"/>
          <w:numId w:val="1"/>
        </w:numPr>
        <w:shd w:val="clear" w:color="auto" w:fill="FFFFFF"/>
        <w:spacing w:before="100" w:beforeAutospacing="1" w:after="100" w:afterAutospacing="1" w:line="420" w:lineRule="atLeast"/>
        <w:textAlignment w:val="center"/>
        <w:rPr>
          <w:rFonts w:ascii="Open Sans" w:eastAsia="Times New Roman" w:hAnsi="Open Sans" w:cs="Open Sans"/>
          <w:b/>
          <w:bCs/>
          <w:color w:val="313335"/>
          <w:kern w:val="0"/>
          <w:sz w:val="27"/>
          <w:szCs w:val="27"/>
          <w14:ligatures w14:val="none"/>
        </w:rPr>
      </w:pPr>
      <w:r w:rsidRPr="00EE4A51">
        <w:rPr>
          <w:rFonts w:ascii="Open Sans" w:eastAsia="Times New Roman" w:hAnsi="Open Sans" w:cs="Open Sans"/>
          <w:b/>
          <w:bCs/>
          <w:color w:val="313335"/>
          <w:kern w:val="0"/>
          <w:sz w:val="27"/>
          <w:szCs w:val="27"/>
          <w14:ligatures w14:val="none"/>
        </w:rPr>
        <w:t>Sec. 10-1. - Use regulations.</w:t>
      </w:r>
    </w:p>
    <w:p w14:paraId="659C8126" w14:textId="77777777" w:rsidR="00EE4A51" w:rsidRPr="00EE4A51" w:rsidRDefault="00EE4A51" w:rsidP="00EE4A51">
      <w:pPr>
        <w:shd w:val="clear" w:color="auto" w:fill="FFFFFF"/>
        <w:spacing w:beforeAutospacing="1" w:after="0" w:afterAutospacing="1" w:line="240" w:lineRule="auto"/>
        <w:ind w:left="720"/>
        <w:textAlignment w:val="center"/>
        <w:rPr>
          <w:rFonts w:ascii="Open Sans" w:eastAsia="Times New Roman" w:hAnsi="Open Sans" w:cs="Open Sans"/>
          <w:b/>
          <w:bCs/>
          <w:color w:val="096FCC"/>
          <w:kern w:val="0"/>
          <w:sz w:val="21"/>
          <w:szCs w:val="21"/>
          <w14:ligatures w14:val="none"/>
        </w:rPr>
      </w:pPr>
      <w:hyperlink r:id="rId11" w:history="1">
        <w:r w:rsidRPr="00EE4A51">
          <w:rPr>
            <w:rFonts w:ascii="Open Sans" w:eastAsia="Times New Roman" w:hAnsi="Open Sans" w:cs="Open Sans"/>
            <w:b/>
            <w:bCs/>
            <w:caps/>
            <w:color w:val="096FCC"/>
            <w:kern w:val="0"/>
            <w:sz w:val="21"/>
            <w:szCs w:val="21"/>
            <w:u w:val="single"/>
            <w:bdr w:val="none" w:sz="0" w:space="0" w:color="auto" w:frame="1"/>
            <w14:ligatures w14:val="none"/>
          </w:rPr>
          <w:t>SHARE LINK TO SECTION</w:t>
        </w:r>
      </w:hyperlink>
      <w:hyperlink r:id="rId12" w:history="1">
        <w:r w:rsidRPr="00EE4A51">
          <w:rPr>
            <w:rFonts w:ascii="Open Sans" w:eastAsia="Times New Roman" w:hAnsi="Open Sans" w:cs="Open Sans"/>
            <w:b/>
            <w:bCs/>
            <w:caps/>
            <w:color w:val="096FCC"/>
            <w:kern w:val="0"/>
            <w:sz w:val="21"/>
            <w:szCs w:val="21"/>
            <w:u w:val="single"/>
            <w:bdr w:val="none" w:sz="0" w:space="0" w:color="auto" w:frame="1"/>
            <w14:ligatures w14:val="none"/>
          </w:rPr>
          <w:t>PRINT SECTION</w:t>
        </w:r>
      </w:hyperlink>
      <w:hyperlink r:id="rId13" w:history="1">
        <w:r w:rsidRPr="00EE4A51">
          <w:rPr>
            <w:rFonts w:ascii="Open Sans" w:eastAsia="Times New Roman" w:hAnsi="Open Sans" w:cs="Open Sans"/>
            <w:b/>
            <w:bCs/>
            <w:caps/>
            <w:color w:val="096FCC"/>
            <w:kern w:val="0"/>
            <w:sz w:val="21"/>
            <w:szCs w:val="21"/>
            <w:u w:val="single"/>
            <w:bdr w:val="none" w:sz="0" w:space="0" w:color="auto" w:frame="1"/>
            <w14:ligatures w14:val="none"/>
          </w:rPr>
          <w:t>DOWNLOAD (DOCX) OF SECTIONS</w:t>
        </w:r>
      </w:hyperlink>
      <w:hyperlink r:id="rId14" w:history="1">
        <w:r w:rsidRPr="00EE4A51">
          <w:rPr>
            <w:rFonts w:ascii="Open Sans" w:eastAsia="Times New Roman" w:hAnsi="Open Sans" w:cs="Open Sans"/>
            <w:b/>
            <w:bCs/>
            <w:caps/>
            <w:color w:val="096FCC"/>
            <w:kern w:val="0"/>
            <w:sz w:val="21"/>
            <w:szCs w:val="21"/>
            <w:u w:val="single"/>
            <w:bdr w:val="none" w:sz="0" w:space="0" w:color="auto" w:frame="1"/>
            <w14:ligatures w14:val="none"/>
          </w:rPr>
          <w:t>EMAIL SECTION</w:t>
        </w:r>
      </w:hyperlink>
      <w:hyperlink r:id="rId15" w:history="1">
        <w:r w:rsidRPr="00EE4A51">
          <w:rPr>
            <w:rFonts w:ascii="Open Sans" w:eastAsia="Times New Roman" w:hAnsi="Open Sans" w:cs="Open Sans"/>
            <w:b/>
            <w:bCs/>
            <w:caps/>
            <w:color w:val="096FCC"/>
            <w:kern w:val="0"/>
            <w:sz w:val="21"/>
            <w:szCs w:val="21"/>
            <w:u w:val="single"/>
            <w:bdr w:val="none" w:sz="0" w:space="0" w:color="auto" w:frame="1"/>
            <w14:ligatures w14:val="none"/>
          </w:rPr>
          <w:t>COMPARE VERSIONS</w:t>
        </w:r>
      </w:hyperlink>
    </w:p>
    <w:p w14:paraId="40138890" w14:textId="77777777" w:rsidR="00EE4A51" w:rsidRPr="00EE4A51" w:rsidRDefault="00EE4A51" w:rsidP="00EE4A51">
      <w:pPr>
        <w:shd w:val="clear" w:color="auto" w:fill="FFFFFF"/>
        <w:spacing w:before="100" w:beforeAutospacing="1" w:after="100" w:afterAutospacing="1"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 xml:space="preserve">Structures to be erected or land to be used shall be for the following uses. Permitted industrial </w:t>
      </w:r>
      <w:proofErr w:type="gramStart"/>
      <w:r w:rsidRPr="00EE4A51">
        <w:rPr>
          <w:rFonts w:ascii="Open Sans" w:eastAsia="Times New Roman" w:hAnsi="Open Sans" w:cs="Open Sans"/>
          <w:color w:val="313335"/>
          <w:spacing w:val="2"/>
          <w:kern w:val="0"/>
          <w:sz w:val="21"/>
          <w:szCs w:val="21"/>
          <w14:ligatures w14:val="none"/>
        </w:rPr>
        <w:t>uses</w:t>
      </w:r>
      <w:proofErr w:type="gramEnd"/>
      <w:r w:rsidRPr="00EE4A51">
        <w:rPr>
          <w:rFonts w:ascii="Open Sans" w:eastAsia="Times New Roman" w:hAnsi="Open Sans" w:cs="Open Sans"/>
          <w:color w:val="313335"/>
          <w:spacing w:val="2"/>
          <w:kern w:val="0"/>
          <w:sz w:val="21"/>
          <w:szCs w:val="21"/>
          <w14:ligatures w14:val="none"/>
        </w:rPr>
        <w:t xml:space="preserve"> shall be conducted wholly within a completely enclosed building or within an area enclosed on all sides by a solid wall or fence six feet in height. Public utilities and signs requiring natural air circulation, unobstructed view, or other technical </w:t>
      </w:r>
      <w:proofErr w:type="gramStart"/>
      <w:r w:rsidRPr="00EE4A51">
        <w:rPr>
          <w:rFonts w:ascii="Open Sans" w:eastAsia="Times New Roman" w:hAnsi="Open Sans" w:cs="Open Sans"/>
          <w:color w:val="313335"/>
          <w:spacing w:val="2"/>
          <w:kern w:val="0"/>
          <w:sz w:val="21"/>
          <w:szCs w:val="21"/>
          <w14:ligatures w14:val="none"/>
        </w:rPr>
        <w:t>consideration</w:t>
      </w:r>
      <w:proofErr w:type="gramEnd"/>
      <w:r w:rsidRPr="00EE4A51">
        <w:rPr>
          <w:rFonts w:ascii="Open Sans" w:eastAsia="Times New Roman" w:hAnsi="Open Sans" w:cs="Open Sans"/>
          <w:color w:val="313335"/>
          <w:spacing w:val="2"/>
          <w:kern w:val="0"/>
          <w:sz w:val="21"/>
          <w:szCs w:val="21"/>
          <w14:ligatures w14:val="none"/>
        </w:rPr>
        <w:t xml:space="preserve"> necessary for proper operation may be exempt from this provision.</w:t>
      </w:r>
    </w:p>
    <w:p w14:paraId="486ADC85"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w:t>
      </w:r>
    </w:p>
    <w:p w14:paraId="469ABCD9"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Accessory uses, as defined.</w:t>
      </w:r>
    </w:p>
    <w:p w14:paraId="394BA534"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w:t>
      </w:r>
    </w:p>
    <w:p w14:paraId="260D8399"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 xml:space="preserve">Automobile and truck sales and service establishments and rental agencies, </w:t>
      </w:r>
      <w:proofErr w:type="gramStart"/>
      <w:r w:rsidRPr="00EE4A51">
        <w:rPr>
          <w:rFonts w:ascii="Open Sans" w:eastAsia="Times New Roman" w:hAnsi="Open Sans" w:cs="Open Sans"/>
          <w:color w:val="313335"/>
          <w:spacing w:val="2"/>
          <w:kern w:val="0"/>
          <w:sz w:val="21"/>
          <w:szCs w:val="21"/>
          <w14:ligatures w14:val="none"/>
        </w:rPr>
        <w:t>provided that</w:t>
      </w:r>
      <w:proofErr w:type="gramEnd"/>
      <w:r w:rsidRPr="00EE4A51">
        <w:rPr>
          <w:rFonts w:ascii="Open Sans" w:eastAsia="Times New Roman" w:hAnsi="Open Sans" w:cs="Open Sans"/>
          <w:color w:val="313335"/>
          <w:spacing w:val="2"/>
          <w:kern w:val="0"/>
          <w:sz w:val="21"/>
          <w:szCs w:val="21"/>
          <w14:ligatures w14:val="none"/>
        </w:rPr>
        <w:t xml:space="preserve"> vehicle lifts and pits and all service and repair of motor vehicles shall be within a building enclosed on all sides.</w:t>
      </w:r>
    </w:p>
    <w:p w14:paraId="6F7E57E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(10/11/83, Case 83-06, Ord. No. 034-83)</w:t>
      </w:r>
    </w:p>
    <w:p w14:paraId="5CFF1228"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w:t>
      </w:r>
    </w:p>
    <w:p w14:paraId="40686F4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Banks and financial institutions, not including alternative financial institutions, as defined in</w:t>
      </w:r>
      <w:hyperlink r:id="rId16" w:history="1">
        <w:r w:rsidRPr="00EE4A51">
          <w:rPr>
            <w:rFonts w:ascii="Open Sans" w:eastAsia="Times New Roman" w:hAnsi="Open Sans" w:cs="Open Sans"/>
            <w:color w:val="096FCC"/>
            <w:spacing w:val="2"/>
            <w:kern w:val="0"/>
            <w:sz w:val="21"/>
            <w:szCs w:val="21"/>
            <w:u w:val="single"/>
            <w14:ligatures w14:val="none"/>
          </w:rPr>
          <w:t> Article 1</w:t>
        </w:r>
      </w:hyperlink>
      <w:r w:rsidRPr="00EE4A51">
        <w:rPr>
          <w:rFonts w:ascii="Open Sans" w:eastAsia="Times New Roman" w:hAnsi="Open Sans" w:cs="Open Sans"/>
          <w:color w:val="313335"/>
          <w:spacing w:val="2"/>
          <w:kern w:val="0"/>
          <w:sz w:val="21"/>
          <w:szCs w:val="21"/>
          <w14:ligatures w14:val="none"/>
        </w:rPr>
        <w:t>.</w:t>
      </w:r>
    </w:p>
    <w:p w14:paraId="018111F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(4/3/10, Case TA-10-21, Ord. No. 2010-06, 6/10/14, Case TA-14-118, Ord. No. 2014-14)</w:t>
      </w:r>
    </w:p>
    <w:p w14:paraId="4F9A11A8"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w:t>
      </w:r>
    </w:p>
    <w:p w14:paraId="64A4425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Bowling alleys.</w:t>
      </w:r>
    </w:p>
    <w:p w14:paraId="0C91963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10-1-5</w:t>
      </w:r>
    </w:p>
    <w:p w14:paraId="483B8B1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Building supplies and service with storage under cover.</w:t>
      </w:r>
    </w:p>
    <w:p w14:paraId="2F53375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10-1-6</w:t>
      </w:r>
    </w:p>
    <w:p w14:paraId="267FADFF"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Car washes.</w:t>
      </w:r>
    </w:p>
    <w:p w14:paraId="0B42E6DB"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10-1-7</w:t>
      </w:r>
    </w:p>
    <w:p w14:paraId="209F238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Churches.</w:t>
      </w:r>
    </w:p>
    <w:p w14:paraId="1422757E"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10-1-8</w:t>
      </w:r>
    </w:p>
    <w:p w14:paraId="090223E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Contractors' establishments, offices and display rooms.</w:t>
      </w:r>
    </w:p>
    <w:p w14:paraId="32278F6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(10/17/95, Case TA-95-04, Ord. No. 053-95)</w:t>
      </w:r>
    </w:p>
    <w:p w14:paraId="32B48D3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10-1-9</w:t>
      </w:r>
    </w:p>
    <w:p w14:paraId="539AAFC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Convenience and service establishments such as, but not limited to, barber shops, beauty parlors, tailors, automatic self-service laundries.</w:t>
      </w:r>
    </w:p>
    <w:p w14:paraId="7055561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10-1-10</w:t>
      </w:r>
    </w:p>
    <w:p w14:paraId="14D51F3B"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Fire stations and rescue squad stations.</w:t>
      </w:r>
    </w:p>
    <w:p w14:paraId="4F1BD09B"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10-1-11</w:t>
      </w:r>
    </w:p>
    <w:p w14:paraId="791EB0A8"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Funeral homes, and crematories when accessory to a funeral home.</w:t>
      </w:r>
    </w:p>
    <w:p w14:paraId="296C21E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(6/8/10, Case TA-10-111, Ord. No. 2010-19)</w:t>
      </w:r>
    </w:p>
    <w:p w14:paraId="345C9087"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10-1-12</w:t>
      </w:r>
    </w:p>
    <w:p w14:paraId="5E21521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Government offices.</w:t>
      </w:r>
    </w:p>
    <w:p w14:paraId="3F56843C"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10-1-13</w:t>
      </w:r>
    </w:p>
    <w:p w14:paraId="751BC9C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Industrial uses.</w:t>
      </w:r>
    </w:p>
    <w:p w14:paraId="4618211F"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(1/14/03, Case TA-02-10, Ord. No. 003-2003; 6/12/07, Case TA-07-01, Ord. No. 2007-19, 11/10/15, Case TA-15-441, Ord. No. 2015-26)</w:t>
      </w:r>
    </w:p>
    <w:p w14:paraId="26BB6FA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a.</w:t>
      </w:r>
    </w:p>
    <w:p w14:paraId="7FB7989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Distributing plants, parcel delivery, ice and cold storage plant, and food commissary, and bakery or catering establishment.</w:t>
      </w:r>
    </w:p>
    <w:p w14:paraId="41658570"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b.</w:t>
      </w:r>
    </w:p>
    <w:p w14:paraId="6EBCF68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Carpenter or cabinet shop.</w:t>
      </w:r>
    </w:p>
    <w:p w14:paraId="624A4E8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w:t>
      </w:r>
    </w:p>
    <w:p w14:paraId="57B3F8A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Contractors' equipment storage yards or plants, or rental equipment commonly used by contractors.</w:t>
      </w:r>
    </w:p>
    <w:p w14:paraId="2E56BD17"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d.</w:t>
      </w:r>
    </w:p>
    <w:p w14:paraId="50A0EB7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Laundry, cleaning, and dyeing works, and carpet and rug cleaning.</w:t>
      </w:r>
    </w:p>
    <w:p w14:paraId="4875A1A6"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e.</w:t>
      </w:r>
    </w:p>
    <w:p w14:paraId="63C73558"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Machinery sales and service.</w:t>
      </w:r>
    </w:p>
    <w:p w14:paraId="6C565B37"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f.</w:t>
      </w:r>
    </w:p>
    <w:p w14:paraId="47F63C8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Machine shop, metal fabrication shop, or welding shop, excluding punch press and drop hammers exceeding 40 ton rated capacity.</w:t>
      </w:r>
    </w:p>
    <w:p w14:paraId="4C7DB288"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g.</w:t>
      </w:r>
    </w:p>
    <w:p w14:paraId="0D36E5E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Monumental stone works.</w:t>
      </w:r>
    </w:p>
    <w:p w14:paraId="0E1F5266"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h.</w:t>
      </w:r>
    </w:p>
    <w:p w14:paraId="62A8C75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Plant nurseries or greenhouses.</w:t>
      </w:r>
    </w:p>
    <w:p w14:paraId="7FF4BFA7"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proofErr w:type="spellStart"/>
      <w:r w:rsidRPr="00EE4A51">
        <w:rPr>
          <w:rFonts w:ascii="Open Sans" w:eastAsia="Times New Roman" w:hAnsi="Open Sans" w:cs="Open Sans"/>
          <w:color w:val="313335"/>
          <w:spacing w:val="2"/>
          <w:kern w:val="0"/>
          <w:sz w:val="21"/>
          <w:szCs w:val="21"/>
          <w14:ligatures w14:val="none"/>
        </w:rPr>
        <w:t>i</w:t>
      </w:r>
      <w:proofErr w:type="spellEnd"/>
      <w:r w:rsidRPr="00EE4A51">
        <w:rPr>
          <w:rFonts w:ascii="Open Sans" w:eastAsia="Times New Roman" w:hAnsi="Open Sans" w:cs="Open Sans"/>
          <w:color w:val="313335"/>
          <w:spacing w:val="2"/>
          <w:kern w:val="0"/>
          <w:sz w:val="21"/>
          <w:szCs w:val="21"/>
          <w14:ligatures w14:val="none"/>
        </w:rPr>
        <w:t>.</w:t>
      </w:r>
    </w:p>
    <w:p w14:paraId="6B69627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Public utility service yard.</w:t>
      </w:r>
    </w:p>
    <w:p w14:paraId="44F2CE7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j.</w:t>
      </w:r>
    </w:p>
    <w:p w14:paraId="31E85CD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Retail lumberyard, including only incidental mill work.</w:t>
      </w:r>
    </w:p>
    <w:p w14:paraId="3A3F60C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k.</w:t>
      </w:r>
    </w:p>
    <w:p w14:paraId="2C6F971E"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Upholstery shop.</w:t>
      </w:r>
    </w:p>
    <w:p w14:paraId="50052CEB"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l.</w:t>
      </w:r>
    </w:p>
    <w:p w14:paraId="71991719"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 xml:space="preserve">Brewery, distillery, </w:t>
      </w:r>
      <w:proofErr w:type="spellStart"/>
      <w:r w:rsidRPr="00EE4A51">
        <w:rPr>
          <w:rFonts w:ascii="Open Sans" w:eastAsia="Times New Roman" w:hAnsi="Open Sans" w:cs="Open Sans"/>
          <w:color w:val="313335"/>
          <w:spacing w:val="2"/>
          <w:kern w:val="0"/>
          <w:sz w:val="21"/>
          <w:szCs w:val="21"/>
          <w14:ligatures w14:val="none"/>
        </w:rPr>
        <w:t>microdistillery</w:t>
      </w:r>
      <w:proofErr w:type="spellEnd"/>
      <w:r w:rsidRPr="00EE4A51">
        <w:rPr>
          <w:rFonts w:ascii="Open Sans" w:eastAsia="Times New Roman" w:hAnsi="Open Sans" w:cs="Open Sans"/>
          <w:color w:val="313335"/>
          <w:spacing w:val="2"/>
          <w:kern w:val="0"/>
          <w:sz w:val="21"/>
          <w:szCs w:val="21"/>
          <w14:ligatures w14:val="none"/>
        </w:rPr>
        <w:t>, microbrewery, nanobrewery, and winery.</w:t>
      </w:r>
    </w:p>
    <w:p w14:paraId="19181139"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10-1-14</w:t>
      </w:r>
    </w:p>
    <w:p w14:paraId="4B5963F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Institutions of higher education.</w:t>
      </w:r>
    </w:p>
    <w:p w14:paraId="3F5DC829"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10-1-15</w:t>
      </w:r>
    </w:p>
    <w:p w14:paraId="0BD4B247"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Library.</w:t>
      </w:r>
    </w:p>
    <w:p w14:paraId="79C7F80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10-1-16</w:t>
      </w:r>
    </w:p>
    <w:p w14:paraId="0783F5A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Museums and art galleries.</w:t>
      </w:r>
    </w:p>
    <w:p w14:paraId="6C739C92"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10-1-17</w:t>
      </w:r>
    </w:p>
    <w:p w14:paraId="2A4A80E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Newspaper office buildings, including printing and publishing facilities incidental to such use.</w:t>
      </w:r>
    </w:p>
    <w:p w14:paraId="073F0AB0"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10-1-18</w:t>
      </w:r>
    </w:p>
    <w:p w14:paraId="1889B857"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Office, business and professional.</w:t>
      </w:r>
    </w:p>
    <w:p w14:paraId="76719022"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10-1-19</w:t>
      </w:r>
    </w:p>
    <w:p w14:paraId="7DB360D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Parking garages and parking lots.</w:t>
      </w:r>
    </w:p>
    <w:p w14:paraId="6596CE94"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10-1-20</w:t>
      </w:r>
    </w:p>
    <w:p w14:paraId="657FDFB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Pet shops.</w:t>
      </w:r>
    </w:p>
    <w:p w14:paraId="75B5D15B"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10-1-21</w:t>
      </w:r>
    </w:p>
    <w:p w14:paraId="5B2D8F8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Philanthropic and charitable institutions.</w:t>
      </w:r>
    </w:p>
    <w:p w14:paraId="7DE76D60"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10-1-22</w:t>
      </w:r>
    </w:p>
    <w:p w14:paraId="325C057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Printing shops.</w:t>
      </w:r>
    </w:p>
    <w:p w14:paraId="0F49ACC6"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10-1-23</w:t>
      </w:r>
    </w:p>
    <w:p w14:paraId="1875F0E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Public utilities, such as poles, lines, distribution transformers, pipes, meters, water and sewer lines, booster or relay stations, transformer substations, transmission lines and towers.</w:t>
      </w:r>
    </w:p>
    <w:p w14:paraId="7FA7F155"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10-1-24</w:t>
      </w:r>
    </w:p>
    <w:p w14:paraId="68E2502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Radio and television broadcasting stations, studios, or offices.</w:t>
      </w:r>
    </w:p>
    <w:p w14:paraId="4D29AED3"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10-1-25</w:t>
      </w:r>
    </w:p>
    <w:p w14:paraId="5324B98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Repair services or businesses, including repair of bicycles, guns, radios, television sets, electrical appliances, locks and other home appliances, shoes, toys, typewriters, watches, and clocks.</w:t>
      </w:r>
    </w:p>
    <w:p w14:paraId="42ED766F"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10-1-26</w:t>
      </w:r>
    </w:p>
    <w:p w14:paraId="2AE561B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Restaurants.</w:t>
      </w:r>
    </w:p>
    <w:p w14:paraId="3CE321DE"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10-1-27</w:t>
      </w:r>
    </w:p>
    <w:p w14:paraId="709720CE"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Retail stores.</w:t>
      </w:r>
    </w:p>
    <w:p w14:paraId="70D272E6"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10-1-28</w:t>
      </w:r>
    </w:p>
    <w:p w14:paraId="548EC95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Schools.</w:t>
      </w:r>
    </w:p>
    <w:p w14:paraId="04CE8B63"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10-1-29</w:t>
      </w:r>
    </w:p>
    <w:p w14:paraId="02C60FB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Service stations, provided that all repairs of vehicles take place in a fully enclosed building.</w:t>
      </w:r>
    </w:p>
    <w:p w14:paraId="03557C2F"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(10/11/83, Case TA-83-06, Ord. No. 034-83)</w:t>
      </w:r>
    </w:p>
    <w:p w14:paraId="0189B9FF"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10-1-30</w:t>
      </w:r>
    </w:p>
    <w:p w14:paraId="1BB1287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Repealed.</w:t>
      </w:r>
    </w:p>
    <w:p w14:paraId="766A8F0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(7/25/17, Case TA-17-287, Ord. No. </w:t>
      </w:r>
      <w:hyperlink r:id="rId17" w:history="1">
        <w:r w:rsidRPr="00EE4A51">
          <w:rPr>
            <w:rFonts w:ascii="Open Sans" w:eastAsia="Times New Roman" w:hAnsi="Open Sans" w:cs="Open Sans"/>
            <w:color w:val="096FCC"/>
            <w:spacing w:val="2"/>
            <w:kern w:val="0"/>
            <w:sz w:val="21"/>
            <w:szCs w:val="21"/>
            <w:u w:val="single"/>
            <w14:ligatures w14:val="none"/>
          </w:rPr>
          <w:t>2017-20 </w:t>
        </w:r>
      </w:hyperlink>
      <w:r w:rsidRPr="00EE4A51">
        <w:rPr>
          <w:rFonts w:ascii="Open Sans" w:eastAsia="Times New Roman" w:hAnsi="Open Sans" w:cs="Open Sans"/>
          <w:color w:val="313335"/>
          <w:spacing w:val="2"/>
          <w:kern w:val="0"/>
          <w:sz w:val="21"/>
          <w:szCs w:val="21"/>
          <w14:ligatures w14:val="none"/>
        </w:rPr>
        <w:t>)</w:t>
      </w:r>
    </w:p>
    <w:p w14:paraId="70FEBCD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10-1-31</w:t>
      </w:r>
    </w:p>
    <w:p w14:paraId="77A04DB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Outdoor storage of materials and supplies and display of merchandise for sale or rent incidental to the conduct of any permitted uses on the lot as provided for in</w:t>
      </w:r>
      <w:hyperlink r:id="rId18" w:history="1">
        <w:r w:rsidRPr="00EE4A51">
          <w:rPr>
            <w:rFonts w:ascii="Open Sans" w:eastAsia="Times New Roman" w:hAnsi="Open Sans" w:cs="Open Sans"/>
            <w:color w:val="096FCC"/>
            <w:spacing w:val="2"/>
            <w:kern w:val="0"/>
            <w:sz w:val="21"/>
            <w:szCs w:val="21"/>
            <w:u w:val="single"/>
            <w14:ligatures w14:val="none"/>
          </w:rPr>
          <w:t> Section 18-20</w:t>
        </w:r>
      </w:hyperlink>
      <w:r w:rsidRPr="00EE4A51">
        <w:rPr>
          <w:rFonts w:ascii="Open Sans" w:eastAsia="Times New Roman" w:hAnsi="Open Sans" w:cs="Open Sans"/>
          <w:color w:val="313335"/>
          <w:spacing w:val="2"/>
          <w:kern w:val="0"/>
          <w:sz w:val="21"/>
          <w:szCs w:val="21"/>
          <w14:ligatures w14:val="none"/>
        </w:rPr>
        <w:t> of this Ordinance.</w:t>
      </w:r>
    </w:p>
    <w:p w14:paraId="5BD240D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(10/17/95, Case TA-95-04, Ord. No. 053-95)</w:t>
      </w:r>
    </w:p>
    <w:p w14:paraId="2C0D7BF3"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10-1-32</w:t>
      </w:r>
    </w:p>
    <w:p w14:paraId="1C58F3F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Theaters, motion picture theaters, and assembly halls.</w:t>
      </w:r>
    </w:p>
    <w:p w14:paraId="1B933626"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10-1-33</w:t>
      </w:r>
    </w:p>
    <w:p w14:paraId="79912239"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Veterinary hospitals.</w:t>
      </w:r>
    </w:p>
    <w:p w14:paraId="4FDADD6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10-1-34</w:t>
      </w:r>
    </w:p>
    <w:p w14:paraId="1A6D1D5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Kennels as per Section 8-2-10 of this Ordinance.</w:t>
      </w:r>
    </w:p>
    <w:p w14:paraId="670ACF9E"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10-1-35</w:t>
      </w:r>
    </w:p>
    <w:p w14:paraId="24CBD1C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Wholesale businesses, storage buildings, and warehousing.</w:t>
      </w:r>
    </w:p>
    <w:p w14:paraId="3A3B1F39"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10-1-36</w:t>
      </w:r>
    </w:p>
    <w:p w14:paraId="0929B17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Off-Street Parking Areas as defined in</w:t>
      </w:r>
      <w:hyperlink r:id="rId19" w:history="1">
        <w:r w:rsidRPr="00EE4A51">
          <w:rPr>
            <w:rFonts w:ascii="Open Sans" w:eastAsia="Times New Roman" w:hAnsi="Open Sans" w:cs="Open Sans"/>
            <w:color w:val="096FCC"/>
            <w:spacing w:val="2"/>
            <w:kern w:val="0"/>
            <w:sz w:val="21"/>
            <w:szCs w:val="21"/>
            <w:u w:val="single"/>
            <w14:ligatures w14:val="none"/>
          </w:rPr>
          <w:t> Section 18-6</w:t>
        </w:r>
      </w:hyperlink>
      <w:r w:rsidRPr="00EE4A51">
        <w:rPr>
          <w:rFonts w:ascii="Open Sans" w:eastAsia="Times New Roman" w:hAnsi="Open Sans" w:cs="Open Sans"/>
          <w:color w:val="313335"/>
          <w:spacing w:val="2"/>
          <w:kern w:val="0"/>
          <w:sz w:val="21"/>
          <w:szCs w:val="21"/>
          <w14:ligatures w14:val="none"/>
        </w:rPr>
        <w:t> of this Ordinance for permitted and conditional uses in the CM-1 District and access drives for permitted and conditional uses in the B-2, B-1, M-1, M-2, MC and HE-1 Districts in accordance with</w:t>
      </w:r>
      <w:hyperlink r:id="rId20" w:history="1">
        <w:r w:rsidRPr="00EE4A51">
          <w:rPr>
            <w:rFonts w:ascii="Open Sans" w:eastAsia="Times New Roman" w:hAnsi="Open Sans" w:cs="Open Sans"/>
            <w:color w:val="096FCC"/>
            <w:spacing w:val="2"/>
            <w:kern w:val="0"/>
            <w:sz w:val="21"/>
            <w:szCs w:val="21"/>
            <w:u w:val="single"/>
            <w14:ligatures w14:val="none"/>
          </w:rPr>
          <w:t> Section 18-6</w:t>
        </w:r>
      </w:hyperlink>
      <w:r w:rsidRPr="00EE4A51">
        <w:rPr>
          <w:rFonts w:ascii="Open Sans" w:eastAsia="Times New Roman" w:hAnsi="Open Sans" w:cs="Open Sans"/>
          <w:color w:val="313335"/>
          <w:spacing w:val="2"/>
          <w:kern w:val="0"/>
          <w:sz w:val="21"/>
          <w:szCs w:val="21"/>
          <w14:ligatures w14:val="none"/>
        </w:rPr>
        <w:t> of this Ordinance.</w:t>
      </w:r>
    </w:p>
    <w:p w14:paraId="1F88E67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(8/12/97, TA-97-06, Ord. No. 019-97; 3/8/05, TA-04-08, Ord. No. 007-2005)</w:t>
      </w:r>
    </w:p>
    <w:p w14:paraId="61FE0F5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10-1-37</w:t>
      </w:r>
    </w:p>
    <w:p w14:paraId="6AA03C19"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Signs in accordance with</w:t>
      </w:r>
      <w:hyperlink r:id="rId21" w:history="1">
        <w:r w:rsidRPr="00EE4A51">
          <w:rPr>
            <w:rFonts w:ascii="Open Sans" w:eastAsia="Times New Roman" w:hAnsi="Open Sans" w:cs="Open Sans"/>
            <w:color w:val="096FCC"/>
            <w:spacing w:val="2"/>
            <w:kern w:val="0"/>
            <w:sz w:val="21"/>
            <w:szCs w:val="21"/>
            <w:u w:val="single"/>
            <w14:ligatures w14:val="none"/>
          </w:rPr>
          <w:t> Section 18-8</w:t>
        </w:r>
      </w:hyperlink>
      <w:r w:rsidRPr="00EE4A51">
        <w:rPr>
          <w:rFonts w:ascii="Open Sans" w:eastAsia="Times New Roman" w:hAnsi="Open Sans" w:cs="Open Sans"/>
          <w:color w:val="313335"/>
          <w:spacing w:val="2"/>
          <w:kern w:val="0"/>
          <w:sz w:val="21"/>
          <w:szCs w:val="21"/>
          <w14:ligatures w14:val="none"/>
        </w:rPr>
        <w:t> of this Ordinance.</w:t>
      </w:r>
    </w:p>
    <w:p w14:paraId="202E78B4"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10-1-38</w:t>
      </w:r>
    </w:p>
    <w:p w14:paraId="31D9614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Mini-warehouses/mini-storage, as defined, subject to the following provisions.</w:t>
      </w:r>
    </w:p>
    <w:p w14:paraId="7B75394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(9/10/91, Case TA-91-02, Ord. No. 037-91)</w:t>
      </w:r>
    </w:p>
    <w:p w14:paraId="5B2449B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a.</w:t>
      </w:r>
    </w:p>
    <w:p w14:paraId="1A2DC0C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Repealed.</w:t>
      </w:r>
    </w:p>
    <w:p w14:paraId="6849B2C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(10/17/95, Case TA-95-04, Ord. No. 053-95)</w:t>
      </w:r>
    </w:p>
    <w:p w14:paraId="6E5CCC1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b.</w:t>
      </w:r>
    </w:p>
    <w:p w14:paraId="790D9C7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No business activities other than rental of storage units and office for management of the facility shall be conducted on the premises or within the building. Specifically, no activities such as miscellaneous or garage sales shall be conducted on the premises. The servicing or repair of motor vehicles, boats, trailers, lawn mowers, or other similar equipment shall not be conducted on the premises. The operation of a mini-warehouse/mini-storage shall in no way be deemed to include a transfer and storage business where the use of vehicles is part of such business.</w:t>
      </w:r>
    </w:p>
    <w:p w14:paraId="1A38577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w:t>
      </w:r>
    </w:p>
    <w:p w14:paraId="7E80997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No entrances to individual compartments shall front on public streets.</w:t>
      </w:r>
    </w:p>
    <w:p w14:paraId="268D5D2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10-1-39</w:t>
      </w:r>
    </w:p>
    <w:p w14:paraId="183A734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Commercial Records Center.</w:t>
      </w:r>
    </w:p>
    <w:p w14:paraId="156494A1"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(4/12/94, Case TA-94-03, Ord. No. 011-94)</w:t>
      </w:r>
    </w:p>
    <w:p w14:paraId="4EA69C4F"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10-1-40</w:t>
      </w:r>
    </w:p>
    <w:p w14:paraId="68C768E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Pet Daycare Center, as per Section 8-2-10.1 of this Ordinance.</w:t>
      </w:r>
    </w:p>
    <w:p w14:paraId="45103677"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(8/12/08, Case TA-08-04, Ord. No. 2008-33)</w:t>
      </w:r>
    </w:p>
    <w:p w14:paraId="1A065730"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10-1-41</w:t>
      </w:r>
    </w:p>
    <w:p w14:paraId="004B8BC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Physical fitness or martial arts establishments.</w:t>
      </w:r>
    </w:p>
    <w:p w14:paraId="6D3D313E"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(10/14/97, Case TA-97-09, Ord. No. 027-97)</w:t>
      </w:r>
    </w:p>
    <w:p w14:paraId="5F971853"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10-1-42</w:t>
      </w:r>
    </w:p>
    <w:p w14:paraId="428D19AB"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Assembling establishments not involved in any on site manufacturing that are not objectionable because of smoke, odor, dust, or noise with not more than ten persons employed.</w:t>
      </w:r>
    </w:p>
    <w:p w14:paraId="3A1E961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(1/14/03, Case TA-02-10, Ord. No. 003-2003)</w:t>
      </w:r>
    </w:p>
    <w:p w14:paraId="427058C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10-1-43</w:t>
      </w:r>
    </w:p>
    <w:p w14:paraId="6B09B5A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Entertainment Establishments, located at least 200 feet from a residentially zoned property, as measured from the structure containing the establishment or the off-street parking area to the residential zone property line.</w:t>
      </w:r>
    </w:p>
    <w:p w14:paraId="6E89F9A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(10/22/13, Case TA-13-146, Ord. No. 2013-28)</w:t>
      </w:r>
    </w:p>
    <w:p w14:paraId="3E3BEBAA"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10-1-44</w:t>
      </w:r>
    </w:p>
    <w:p w14:paraId="1BCCAACF"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Home Improvement Donation Center.</w:t>
      </w:r>
    </w:p>
    <w:p w14:paraId="15C176B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(6/23/15, Case TA-15-177, Ord. No. 2015-13)</w:t>
      </w:r>
    </w:p>
    <w:p w14:paraId="39F3B760"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10-1-45</w:t>
      </w:r>
    </w:p>
    <w:p w14:paraId="55CEAB80"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Wireless facilities and wireless support structures eligible for administrative review per Section 18-30-4.</w:t>
      </w:r>
    </w:p>
    <w:p w14:paraId="74962E3B"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(2/11/20, Case TA-19-598, Ord. No. </w:t>
      </w:r>
      <w:hyperlink r:id="rId22" w:history="1">
        <w:r w:rsidRPr="00EE4A51">
          <w:rPr>
            <w:rFonts w:ascii="Open Sans" w:eastAsia="Times New Roman" w:hAnsi="Open Sans" w:cs="Open Sans"/>
            <w:color w:val="096FCC"/>
            <w:spacing w:val="2"/>
            <w:kern w:val="0"/>
            <w:sz w:val="21"/>
            <w:szCs w:val="21"/>
            <w:u w:val="single"/>
            <w14:ligatures w14:val="none"/>
          </w:rPr>
          <w:t>2020-01 </w:t>
        </w:r>
      </w:hyperlink>
      <w:r w:rsidRPr="00EE4A51">
        <w:rPr>
          <w:rFonts w:ascii="Open Sans" w:eastAsia="Times New Roman" w:hAnsi="Open Sans" w:cs="Open Sans"/>
          <w:color w:val="313335"/>
          <w:spacing w:val="2"/>
          <w:kern w:val="0"/>
          <w:sz w:val="21"/>
          <w:szCs w:val="21"/>
          <w14:ligatures w14:val="none"/>
        </w:rPr>
        <w:t>)</w:t>
      </w:r>
    </w:p>
    <w:p w14:paraId="40787A6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10-1-46</w:t>
      </w:r>
    </w:p>
    <w:p w14:paraId="68FBB94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Solar energy systems, as a principal use.</w:t>
      </w:r>
    </w:p>
    <w:p w14:paraId="1BFF8AB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(3/22/22, Ord. No. </w:t>
      </w:r>
      <w:hyperlink r:id="rId23" w:history="1">
        <w:r w:rsidRPr="00EE4A51">
          <w:rPr>
            <w:rFonts w:ascii="Open Sans" w:eastAsia="Times New Roman" w:hAnsi="Open Sans" w:cs="Open Sans"/>
            <w:color w:val="096FCC"/>
            <w:spacing w:val="2"/>
            <w:kern w:val="0"/>
            <w:sz w:val="21"/>
            <w:szCs w:val="21"/>
            <w:u w:val="single"/>
            <w14:ligatures w14:val="none"/>
          </w:rPr>
          <w:t>2022-7 </w:t>
        </w:r>
      </w:hyperlink>
      <w:r w:rsidRPr="00EE4A51">
        <w:rPr>
          <w:rFonts w:ascii="Open Sans" w:eastAsia="Times New Roman" w:hAnsi="Open Sans" w:cs="Open Sans"/>
          <w:color w:val="313335"/>
          <w:spacing w:val="2"/>
          <w:kern w:val="0"/>
          <w:sz w:val="21"/>
          <w:szCs w:val="21"/>
          <w14:ligatures w14:val="none"/>
        </w:rPr>
        <w:t>)</w:t>
      </w:r>
    </w:p>
    <w:p w14:paraId="3578A774" w14:textId="77777777" w:rsidR="00EE4A51" w:rsidRPr="00EE4A51" w:rsidRDefault="00EE4A51" w:rsidP="00EE4A51">
      <w:pPr>
        <w:numPr>
          <w:ilvl w:val="0"/>
          <w:numId w:val="1"/>
        </w:numPr>
        <w:shd w:val="clear" w:color="auto" w:fill="FFFFFF"/>
        <w:spacing w:before="100" w:beforeAutospacing="1" w:after="100" w:afterAutospacing="1" w:line="420" w:lineRule="atLeast"/>
        <w:textAlignment w:val="center"/>
        <w:rPr>
          <w:rFonts w:ascii="Open Sans" w:eastAsia="Times New Roman" w:hAnsi="Open Sans" w:cs="Open Sans"/>
          <w:b/>
          <w:bCs/>
          <w:color w:val="313335"/>
          <w:kern w:val="0"/>
          <w:sz w:val="27"/>
          <w:szCs w:val="27"/>
          <w14:ligatures w14:val="none"/>
        </w:rPr>
      </w:pPr>
      <w:r w:rsidRPr="00EE4A51">
        <w:rPr>
          <w:rFonts w:ascii="Open Sans" w:eastAsia="Times New Roman" w:hAnsi="Open Sans" w:cs="Open Sans"/>
          <w:b/>
          <w:bCs/>
          <w:color w:val="313335"/>
          <w:kern w:val="0"/>
          <w:sz w:val="27"/>
          <w:szCs w:val="27"/>
          <w14:ligatures w14:val="none"/>
        </w:rPr>
        <w:t>Sec. 10-2. - Uses requiring a conditional use permit.</w:t>
      </w:r>
    </w:p>
    <w:p w14:paraId="70BCF058" w14:textId="77777777" w:rsidR="00EE4A51" w:rsidRPr="00EE4A51" w:rsidRDefault="00EE4A51" w:rsidP="00EE4A51">
      <w:pPr>
        <w:shd w:val="clear" w:color="auto" w:fill="FFFFFF"/>
        <w:spacing w:before="100" w:beforeAutospacing="1" w:after="100" w:afterAutospacing="1" w:line="240" w:lineRule="auto"/>
        <w:ind w:left="720"/>
        <w:rPr>
          <w:rFonts w:ascii="Open Sans" w:eastAsia="Times New Roman" w:hAnsi="Open Sans" w:cs="Open Sans"/>
          <w:b/>
          <w:bCs/>
          <w:color w:val="313335"/>
          <w:kern w:val="0"/>
          <w:sz w:val="21"/>
          <w:szCs w:val="21"/>
          <w14:ligatures w14:val="none"/>
        </w:rPr>
      </w:pPr>
      <w:r w:rsidRPr="00EE4A51">
        <w:rPr>
          <w:rFonts w:ascii="Open Sans" w:eastAsia="Times New Roman" w:hAnsi="Open Sans" w:cs="Open Sans"/>
          <w:b/>
          <w:bCs/>
          <w:color w:val="FFFFFF"/>
          <w:kern w:val="0"/>
          <w:sz w:val="21"/>
          <w:szCs w:val="21"/>
          <w:shd w:val="clear" w:color="auto" w:fill="096FCC"/>
          <w14:ligatures w14:val="none"/>
        </w:rPr>
        <w:t>modified</w:t>
      </w:r>
    </w:p>
    <w:p w14:paraId="1B5D4CB1" w14:textId="77777777" w:rsidR="00EE4A51" w:rsidRPr="00EE4A51" w:rsidRDefault="00EE4A51" w:rsidP="00EE4A51">
      <w:pPr>
        <w:shd w:val="clear" w:color="auto" w:fill="FFFFFF"/>
        <w:spacing w:beforeAutospacing="1" w:after="0" w:afterAutospacing="1" w:line="240" w:lineRule="auto"/>
        <w:ind w:left="720"/>
        <w:textAlignment w:val="center"/>
        <w:rPr>
          <w:rFonts w:ascii="Open Sans" w:eastAsia="Times New Roman" w:hAnsi="Open Sans" w:cs="Open Sans"/>
          <w:b/>
          <w:bCs/>
          <w:color w:val="096FCC"/>
          <w:kern w:val="0"/>
          <w:sz w:val="21"/>
          <w:szCs w:val="21"/>
          <w14:ligatures w14:val="none"/>
        </w:rPr>
      </w:pPr>
      <w:hyperlink r:id="rId24" w:history="1">
        <w:r w:rsidRPr="00EE4A51">
          <w:rPr>
            <w:rFonts w:ascii="Open Sans" w:eastAsia="Times New Roman" w:hAnsi="Open Sans" w:cs="Open Sans"/>
            <w:b/>
            <w:bCs/>
            <w:caps/>
            <w:color w:val="096FCC"/>
            <w:kern w:val="0"/>
            <w:sz w:val="21"/>
            <w:szCs w:val="21"/>
            <w:u w:val="single"/>
            <w:bdr w:val="none" w:sz="0" w:space="0" w:color="auto" w:frame="1"/>
            <w14:ligatures w14:val="none"/>
          </w:rPr>
          <w:t>SHARE LINK TO SECTION</w:t>
        </w:r>
      </w:hyperlink>
      <w:hyperlink r:id="rId25" w:history="1">
        <w:r w:rsidRPr="00EE4A51">
          <w:rPr>
            <w:rFonts w:ascii="Open Sans" w:eastAsia="Times New Roman" w:hAnsi="Open Sans" w:cs="Open Sans"/>
            <w:b/>
            <w:bCs/>
            <w:caps/>
            <w:color w:val="096FCC"/>
            <w:kern w:val="0"/>
            <w:sz w:val="21"/>
            <w:szCs w:val="21"/>
            <w:u w:val="single"/>
            <w:bdr w:val="none" w:sz="0" w:space="0" w:color="auto" w:frame="1"/>
            <w14:ligatures w14:val="none"/>
          </w:rPr>
          <w:t>PRINT SECTION</w:t>
        </w:r>
      </w:hyperlink>
      <w:hyperlink r:id="rId26" w:history="1">
        <w:r w:rsidRPr="00EE4A51">
          <w:rPr>
            <w:rFonts w:ascii="Open Sans" w:eastAsia="Times New Roman" w:hAnsi="Open Sans" w:cs="Open Sans"/>
            <w:b/>
            <w:bCs/>
            <w:caps/>
            <w:color w:val="096FCC"/>
            <w:kern w:val="0"/>
            <w:sz w:val="21"/>
            <w:szCs w:val="21"/>
            <w:u w:val="single"/>
            <w:bdr w:val="none" w:sz="0" w:space="0" w:color="auto" w:frame="1"/>
            <w14:ligatures w14:val="none"/>
          </w:rPr>
          <w:t>DOWNLOAD (DOCX) OF SECTIONS</w:t>
        </w:r>
      </w:hyperlink>
      <w:hyperlink r:id="rId27" w:history="1">
        <w:r w:rsidRPr="00EE4A51">
          <w:rPr>
            <w:rFonts w:ascii="Open Sans" w:eastAsia="Times New Roman" w:hAnsi="Open Sans" w:cs="Open Sans"/>
            <w:b/>
            <w:bCs/>
            <w:caps/>
            <w:color w:val="096FCC"/>
            <w:kern w:val="0"/>
            <w:sz w:val="21"/>
            <w:szCs w:val="21"/>
            <w:u w:val="single"/>
            <w:bdr w:val="none" w:sz="0" w:space="0" w:color="auto" w:frame="1"/>
            <w14:ligatures w14:val="none"/>
          </w:rPr>
          <w:t>EMAIL SECTION</w:t>
        </w:r>
      </w:hyperlink>
      <w:hyperlink r:id="rId28" w:history="1">
        <w:r w:rsidRPr="00EE4A51">
          <w:rPr>
            <w:rFonts w:ascii="Open Sans" w:eastAsia="Times New Roman" w:hAnsi="Open Sans" w:cs="Open Sans"/>
            <w:b/>
            <w:bCs/>
            <w:caps/>
            <w:color w:val="096FCC"/>
            <w:kern w:val="0"/>
            <w:sz w:val="21"/>
            <w:szCs w:val="21"/>
            <w:u w:val="single"/>
            <w:bdr w:val="none" w:sz="0" w:space="0" w:color="auto" w:frame="1"/>
            <w14:ligatures w14:val="none"/>
          </w:rPr>
          <w:t>COMPARE VERSIONS</w:t>
        </w:r>
      </w:hyperlink>
    </w:p>
    <w:p w14:paraId="6553EB5B"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w:t>
      </w:r>
    </w:p>
    <w:p w14:paraId="5F78DFB8"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Day nurseries or day care centers.</w:t>
      </w:r>
    </w:p>
    <w:p w14:paraId="3B2B71A2"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10-2-2</w:t>
      </w:r>
    </w:p>
    <w:p w14:paraId="0CB31AE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Laboratories: pharmaceutical, medical, experimental, photo, or motion picture film, or testing.</w:t>
      </w:r>
    </w:p>
    <w:p w14:paraId="4E1B316F"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10-2-3</w:t>
      </w:r>
    </w:p>
    <w:p w14:paraId="0444474B"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Entertainment Establishments, located less than 200 feet from a residentially zoned property, as measured from the structure containing the establishment or the off-street parking area to the residential zone property line, and such establishments where the entertainment will be conducted outdoors.</w:t>
      </w:r>
    </w:p>
    <w:p w14:paraId="4A6FC52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(10/22/13, Case TA-13-146, Ord. No. 2013-28)</w:t>
      </w:r>
    </w:p>
    <w:p w14:paraId="3CEBA996"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10-2-4</w:t>
      </w:r>
    </w:p>
    <w:p w14:paraId="37D5A45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Private clubs and lodges.</w:t>
      </w:r>
    </w:p>
    <w:p w14:paraId="1A0EE7C4"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10-2-5</w:t>
      </w:r>
    </w:p>
    <w:p w14:paraId="48DE003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Roller Rinks.</w:t>
      </w:r>
    </w:p>
    <w:p w14:paraId="07BB897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10-2-6</w:t>
      </w:r>
    </w:p>
    <w:p w14:paraId="409640C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Bed and Breakfast Inns, Hotels and motels.</w:t>
      </w:r>
    </w:p>
    <w:p w14:paraId="5F3FC6E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(12/13/94, Case TA-94-09, Ord. No. 028-94)</w:t>
      </w:r>
    </w:p>
    <w:p w14:paraId="2CBE064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10-2-7</w:t>
      </w:r>
    </w:p>
    <w:p w14:paraId="110479EA"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Bus Terminals (6/14/94, Case TA-94-06, Ord. No. 019-94)</w:t>
      </w:r>
    </w:p>
    <w:p w14:paraId="73C5B37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10-2-8</w:t>
      </w:r>
    </w:p>
    <w:p w14:paraId="0283A61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Wireless facilities and wireless support structures not eligible for administrative review.</w:t>
      </w:r>
    </w:p>
    <w:p w14:paraId="0F86A422"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(2/13/96, Case TA-95-07, Ord. No. 002-96, 1/13/15, Case TA-14-645, Ord. No. 2014-48; 2/11/20, Case TA-19-598, Ord. No. </w:t>
      </w:r>
      <w:hyperlink r:id="rId29" w:history="1">
        <w:r w:rsidRPr="00EE4A51">
          <w:rPr>
            <w:rFonts w:ascii="Open Sans" w:eastAsia="Times New Roman" w:hAnsi="Open Sans" w:cs="Open Sans"/>
            <w:color w:val="096FCC"/>
            <w:spacing w:val="2"/>
            <w:kern w:val="0"/>
            <w:sz w:val="21"/>
            <w:szCs w:val="21"/>
            <w:u w:val="single"/>
            <w14:ligatures w14:val="none"/>
          </w:rPr>
          <w:t>2020-01 </w:t>
        </w:r>
      </w:hyperlink>
      <w:r w:rsidRPr="00EE4A51">
        <w:rPr>
          <w:rFonts w:ascii="Open Sans" w:eastAsia="Times New Roman" w:hAnsi="Open Sans" w:cs="Open Sans"/>
          <w:color w:val="313335"/>
          <w:spacing w:val="2"/>
          <w:kern w:val="0"/>
          <w:sz w:val="21"/>
          <w:szCs w:val="21"/>
          <w14:ligatures w14:val="none"/>
        </w:rPr>
        <w:t>)</w:t>
      </w:r>
    </w:p>
    <w:p w14:paraId="3B536A8C"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10-2-9</w:t>
      </w:r>
    </w:p>
    <w:p w14:paraId="0A2B3E3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Motor vehicle painting, upholstering, and body and fender work provided that all service and repair of motor vehicles shall be within a building enclosed on all sides. Damaged motor vehicles awaiting repair shall be contained within a completely enclosed building or within an area enclosed on all sides by screening meeting the requirements of Section 19-5-6.4d of this Ordinance.</w:t>
      </w:r>
    </w:p>
    <w:p w14:paraId="37FDECF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(8/13/96, Case TA-96-04, Ord. No. 018-96)</w:t>
      </w:r>
    </w:p>
    <w:p w14:paraId="2379842C"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10-2-10</w:t>
      </w:r>
    </w:p>
    <w:p w14:paraId="07D052C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Repealed.</w:t>
      </w:r>
    </w:p>
    <w:p w14:paraId="5E05022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(2/12/08, Case TA-07-09, Ord. No. 2008-11)</w:t>
      </w:r>
    </w:p>
    <w:p w14:paraId="01313651"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10-2-11</w:t>
      </w:r>
    </w:p>
    <w:p w14:paraId="57FD7D38"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proofErr w:type="gramStart"/>
      <w:r w:rsidRPr="00EE4A51">
        <w:rPr>
          <w:rFonts w:ascii="Open Sans" w:eastAsia="Times New Roman" w:hAnsi="Open Sans" w:cs="Open Sans"/>
          <w:color w:val="313335"/>
          <w:spacing w:val="2"/>
          <w:kern w:val="0"/>
          <w:sz w:val="21"/>
          <w:szCs w:val="21"/>
          <w14:ligatures w14:val="none"/>
        </w:rPr>
        <w:t>Animal Shelters,</w:t>
      </w:r>
      <w:proofErr w:type="gramEnd"/>
      <w:r w:rsidRPr="00EE4A51">
        <w:rPr>
          <w:rFonts w:ascii="Open Sans" w:eastAsia="Times New Roman" w:hAnsi="Open Sans" w:cs="Open Sans"/>
          <w:color w:val="313335"/>
          <w:spacing w:val="2"/>
          <w:kern w:val="0"/>
          <w:sz w:val="21"/>
          <w:szCs w:val="21"/>
          <w14:ligatures w14:val="none"/>
        </w:rPr>
        <w:t xml:space="preserve"> provided no such use is situated within 500 feet of any residential district.</w:t>
      </w:r>
    </w:p>
    <w:p w14:paraId="32B9A53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(12/12/00, Case TA-00-06, Ord. No. 025-2000)</w:t>
      </w:r>
    </w:p>
    <w:p w14:paraId="1704D693"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lastRenderedPageBreak/>
        <w:t>10-2-12</w:t>
      </w:r>
    </w:p>
    <w:p w14:paraId="2FA88ED5"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Extended stay lodging.</w:t>
      </w:r>
    </w:p>
    <w:p w14:paraId="707C5B84"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(8/12/03, Case TA-03-01, Ord. No. 031-2003)</w:t>
      </w:r>
    </w:p>
    <w:p w14:paraId="6DCFC47F"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10-2-13</w:t>
      </w:r>
    </w:p>
    <w:p w14:paraId="56B22B8E"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 xml:space="preserve">Alternative financial institutions, provided that no such use is located within 500 feet of any other alternative financial institution or </w:t>
      </w:r>
      <w:proofErr w:type="gramStart"/>
      <w:r w:rsidRPr="00EE4A51">
        <w:rPr>
          <w:rFonts w:ascii="Open Sans" w:eastAsia="Times New Roman" w:hAnsi="Open Sans" w:cs="Open Sans"/>
          <w:color w:val="313335"/>
          <w:spacing w:val="2"/>
          <w:kern w:val="0"/>
          <w:sz w:val="21"/>
          <w:szCs w:val="21"/>
          <w14:ligatures w14:val="none"/>
        </w:rPr>
        <w:t>residentially-zoned</w:t>
      </w:r>
      <w:proofErr w:type="gramEnd"/>
      <w:r w:rsidRPr="00EE4A51">
        <w:rPr>
          <w:rFonts w:ascii="Open Sans" w:eastAsia="Times New Roman" w:hAnsi="Open Sans" w:cs="Open Sans"/>
          <w:color w:val="313335"/>
          <w:spacing w:val="2"/>
          <w:kern w:val="0"/>
          <w:sz w:val="21"/>
          <w:szCs w:val="21"/>
          <w14:ligatures w14:val="none"/>
        </w:rPr>
        <w:t xml:space="preserve"> property.</w:t>
      </w:r>
    </w:p>
    <w:p w14:paraId="0C3DC453"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(4/3/10, Case TA-10-21, Ord. No. 2010-06, 6/10/14, Case TA-14-118, Ord. No. 2014-14)</w:t>
      </w:r>
    </w:p>
    <w:p w14:paraId="38A1608C"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10-2-14</w:t>
      </w:r>
    </w:p>
    <w:p w14:paraId="22019DC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Crematories.</w:t>
      </w:r>
    </w:p>
    <w:p w14:paraId="330E704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(6/8/10, Case TA-10-111, Ord. No. 2010-19)</w:t>
      </w:r>
    </w:p>
    <w:p w14:paraId="4BF601E0"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10-2-15</w:t>
      </w:r>
    </w:p>
    <w:p w14:paraId="37B2BD0D"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proofErr w:type="gramStart"/>
      <w:r w:rsidRPr="00EE4A51">
        <w:rPr>
          <w:rFonts w:ascii="Open Sans" w:eastAsia="Times New Roman" w:hAnsi="Open Sans" w:cs="Open Sans"/>
          <w:color w:val="313335"/>
          <w:spacing w:val="2"/>
          <w:kern w:val="0"/>
          <w:sz w:val="21"/>
          <w:szCs w:val="21"/>
          <w14:ligatures w14:val="none"/>
        </w:rPr>
        <w:t>Hookah</w:t>
      </w:r>
      <w:proofErr w:type="gramEnd"/>
      <w:r w:rsidRPr="00EE4A51">
        <w:rPr>
          <w:rFonts w:ascii="Open Sans" w:eastAsia="Times New Roman" w:hAnsi="Open Sans" w:cs="Open Sans"/>
          <w:color w:val="313335"/>
          <w:spacing w:val="2"/>
          <w:kern w:val="0"/>
          <w:sz w:val="21"/>
          <w:szCs w:val="21"/>
          <w14:ligatures w14:val="none"/>
        </w:rPr>
        <w:t xml:space="preserve"> establishment, as defined, provided that no such use shall be located within 500 feet of a similar use, public/private school, playground, or public park.</w:t>
      </w:r>
    </w:p>
    <w:p w14:paraId="5F0B6AEC"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(2/8/11, Case TA-10-639, Ord. No. 2010-73)</w:t>
      </w:r>
    </w:p>
    <w:p w14:paraId="5411B959"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10-2-16</w:t>
      </w:r>
    </w:p>
    <w:p w14:paraId="47006E7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Arenas, Amphitheaters, and Stadiums provided that no such structure is situated within 300 feet of any MR or LR residential district.</w:t>
      </w:r>
    </w:p>
    <w:p w14:paraId="769A8A9E"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(7/10/12, Case TA-12-187, Ord. No. 2012-20)</w:t>
      </w:r>
    </w:p>
    <w:p w14:paraId="21C4C2DD"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10-2-17</w:t>
      </w:r>
    </w:p>
    <w:p w14:paraId="14746EAE"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Towing Yard.</w:t>
      </w:r>
    </w:p>
    <w:p w14:paraId="51C6CD3F"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 </w:t>
      </w:r>
      <w:hyperlink r:id="rId30" w:history="1">
        <w:r w:rsidRPr="00EE4A51">
          <w:rPr>
            <w:rFonts w:ascii="Open Sans" w:eastAsia="Times New Roman" w:hAnsi="Open Sans" w:cs="Open Sans"/>
            <w:color w:val="096FCC"/>
            <w:spacing w:val="2"/>
            <w:kern w:val="0"/>
            <w:sz w:val="21"/>
            <w:szCs w:val="21"/>
            <w:u w:val="single"/>
            <w14:ligatures w14:val="none"/>
          </w:rPr>
          <w:t>Ord. No. 2021-27 </w:t>
        </w:r>
      </w:hyperlink>
      <w:r w:rsidRPr="00EE4A51">
        <w:rPr>
          <w:rFonts w:ascii="Open Sans" w:eastAsia="Times New Roman" w:hAnsi="Open Sans" w:cs="Open Sans"/>
          <w:color w:val="313335"/>
          <w:spacing w:val="2"/>
          <w:kern w:val="0"/>
          <w:sz w:val="21"/>
          <w:szCs w:val="21"/>
          <w14:ligatures w14:val="none"/>
        </w:rPr>
        <w:t>, 7-27-2021)</w:t>
      </w:r>
    </w:p>
    <w:p w14:paraId="52BCC107" w14:textId="77777777" w:rsidR="00EE4A51" w:rsidRPr="00EE4A51" w:rsidRDefault="00EE4A51" w:rsidP="00EE4A51">
      <w:pPr>
        <w:shd w:val="clear" w:color="auto" w:fill="FFFFFF"/>
        <w:spacing w:before="100" w:beforeAutospacing="1" w:after="100" w:afterAutospacing="1" w:line="240" w:lineRule="auto"/>
        <w:ind w:left="720"/>
        <w:jc w:val="right"/>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10-2-18</w:t>
      </w:r>
    </w:p>
    <w:p w14:paraId="2E460CE6"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Vertical farming uses to be conducted entirely within an industrialized container, subject to the requirements in</w:t>
      </w:r>
      <w:hyperlink r:id="rId31" w:history="1">
        <w:r w:rsidRPr="00EE4A51">
          <w:rPr>
            <w:rFonts w:ascii="Open Sans" w:eastAsia="Times New Roman" w:hAnsi="Open Sans" w:cs="Open Sans"/>
            <w:color w:val="096FCC"/>
            <w:spacing w:val="2"/>
            <w:kern w:val="0"/>
            <w:sz w:val="21"/>
            <w:szCs w:val="21"/>
            <w:u w:val="single"/>
            <w14:ligatures w14:val="none"/>
          </w:rPr>
          <w:t> Section 18-17.1</w:t>
        </w:r>
      </w:hyperlink>
      <w:r w:rsidRPr="00EE4A51">
        <w:rPr>
          <w:rFonts w:ascii="Open Sans" w:eastAsia="Times New Roman" w:hAnsi="Open Sans" w:cs="Open Sans"/>
          <w:color w:val="313335"/>
          <w:spacing w:val="2"/>
          <w:kern w:val="0"/>
          <w:sz w:val="21"/>
          <w:szCs w:val="21"/>
          <w14:ligatures w14:val="none"/>
        </w:rPr>
        <w:t>.</w:t>
      </w:r>
    </w:p>
    <w:p w14:paraId="5069A7D9" w14:textId="77777777" w:rsidR="00EE4A51" w:rsidRPr="00EE4A51" w:rsidRDefault="00EE4A51" w:rsidP="00EE4A51">
      <w:pPr>
        <w:shd w:val="clear" w:color="auto" w:fill="FFFFFF"/>
        <w:spacing w:after="195" w:line="240" w:lineRule="auto"/>
        <w:ind w:left="720"/>
        <w:rPr>
          <w:rFonts w:ascii="Open Sans" w:eastAsia="Times New Roman" w:hAnsi="Open Sans" w:cs="Open Sans"/>
          <w:color w:val="313335"/>
          <w:spacing w:val="2"/>
          <w:kern w:val="0"/>
          <w:sz w:val="21"/>
          <w:szCs w:val="21"/>
          <w14:ligatures w14:val="none"/>
        </w:rPr>
      </w:pPr>
      <w:r w:rsidRPr="00EE4A51">
        <w:rPr>
          <w:rFonts w:ascii="Open Sans" w:eastAsia="Times New Roman" w:hAnsi="Open Sans" w:cs="Open Sans"/>
          <w:color w:val="313335"/>
          <w:spacing w:val="2"/>
          <w:kern w:val="0"/>
          <w:sz w:val="21"/>
          <w:szCs w:val="21"/>
          <w14:ligatures w14:val="none"/>
        </w:rPr>
        <w:t>(6/27/23, Case TA-23-170, Ord. No. </w:t>
      </w:r>
      <w:hyperlink r:id="rId32" w:history="1">
        <w:r w:rsidRPr="00EE4A51">
          <w:rPr>
            <w:rFonts w:ascii="Open Sans" w:eastAsia="Times New Roman" w:hAnsi="Open Sans" w:cs="Open Sans"/>
            <w:color w:val="096FCC"/>
            <w:spacing w:val="2"/>
            <w:kern w:val="0"/>
            <w:sz w:val="21"/>
            <w:szCs w:val="21"/>
            <w:u w:val="single"/>
            <w14:ligatures w14:val="none"/>
          </w:rPr>
          <w:t>2023-17 </w:t>
        </w:r>
      </w:hyperlink>
      <w:r w:rsidRPr="00EE4A51">
        <w:rPr>
          <w:rFonts w:ascii="Open Sans" w:eastAsia="Times New Roman" w:hAnsi="Open Sans" w:cs="Open Sans"/>
          <w:color w:val="313335"/>
          <w:spacing w:val="2"/>
          <w:kern w:val="0"/>
          <w:sz w:val="21"/>
          <w:szCs w:val="21"/>
          <w14:ligatures w14:val="none"/>
        </w:rPr>
        <w:t>)</w:t>
      </w:r>
    </w:p>
    <w:p w14:paraId="7A8B4B1A" w14:textId="77777777" w:rsidR="009D5905" w:rsidRDefault="009D5905"/>
    <w:sectPr w:rsidR="009D59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8A23BC"/>
    <w:multiLevelType w:val="multilevel"/>
    <w:tmpl w:val="1ECA79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37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A51"/>
    <w:rsid w:val="00326383"/>
    <w:rsid w:val="009D5905"/>
    <w:rsid w:val="00EE4A51"/>
    <w:rsid w:val="00F70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FA251F"/>
  <w15:chartTrackingRefBased/>
  <w15:docId w15:val="{42047451-8D94-466E-A793-AA0DBC96A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E4A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E4A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E4A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E4A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E4A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E4A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E4A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E4A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E4A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4A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E4A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E4A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E4A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E4A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E4A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E4A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E4A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E4A51"/>
    <w:rPr>
      <w:rFonts w:eastAsiaTheme="majorEastAsia" w:cstheme="majorBidi"/>
      <w:color w:val="272727" w:themeColor="text1" w:themeTint="D8"/>
    </w:rPr>
  </w:style>
  <w:style w:type="paragraph" w:styleId="Title">
    <w:name w:val="Title"/>
    <w:basedOn w:val="Normal"/>
    <w:next w:val="Normal"/>
    <w:link w:val="TitleChar"/>
    <w:uiPriority w:val="10"/>
    <w:qFormat/>
    <w:rsid w:val="00EE4A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E4A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4A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E4A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E4A51"/>
    <w:pPr>
      <w:spacing w:before="160"/>
      <w:jc w:val="center"/>
    </w:pPr>
    <w:rPr>
      <w:i/>
      <w:iCs/>
      <w:color w:val="404040" w:themeColor="text1" w:themeTint="BF"/>
    </w:rPr>
  </w:style>
  <w:style w:type="character" w:customStyle="1" w:styleId="QuoteChar">
    <w:name w:val="Quote Char"/>
    <w:basedOn w:val="DefaultParagraphFont"/>
    <w:link w:val="Quote"/>
    <w:uiPriority w:val="29"/>
    <w:rsid w:val="00EE4A51"/>
    <w:rPr>
      <w:i/>
      <w:iCs/>
      <w:color w:val="404040" w:themeColor="text1" w:themeTint="BF"/>
    </w:rPr>
  </w:style>
  <w:style w:type="paragraph" w:styleId="ListParagraph">
    <w:name w:val="List Paragraph"/>
    <w:basedOn w:val="Normal"/>
    <w:uiPriority w:val="34"/>
    <w:qFormat/>
    <w:rsid w:val="00EE4A51"/>
    <w:pPr>
      <w:ind w:left="720"/>
      <w:contextualSpacing/>
    </w:pPr>
  </w:style>
  <w:style w:type="character" w:styleId="IntenseEmphasis">
    <w:name w:val="Intense Emphasis"/>
    <w:basedOn w:val="DefaultParagraphFont"/>
    <w:uiPriority w:val="21"/>
    <w:qFormat/>
    <w:rsid w:val="00EE4A51"/>
    <w:rPr>
      <w:i/>
      <w:iCs/>
      <w:color w:val="0F4761" w:themeColor="accent1" w:themeShade="BF"/>
    </w:rPr>
  </w:style>
  <w:style w:type="paragraph" w:styleId="IntenseQuote">
    <w:name w:val="Intense Quote"/>
    <w:basedOn w:val="Normal"/>
    <w:next w:val="Normal"/>
    <w:link w:val="IntenseQuoteChar"/>
    <w:uiPriority w:val="30"/>
    <w:qFormat/>
    <w:rsid w:val="00EE4A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E4A51"/>
    <w:rPr>
      <w:i/>
      <w:iCs/>
      <w:color w:val="0F4761" w:themeColor="accent1" w:themeShade="BF"/>
    </w:rPr>
  </w:style>
  <w:style w:type="character" w:styleId="IntenseReference">
    <w:name w:val="Intense Reference"/>
    <w:basedOn w:val="DefaultParagraphFont"/>
    <w:uiPriority w:val="32"/>
    <w:qFormat/>
    <w:rsid w:val="00EE4A5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79870520">
      <w:bodyDiv w:val="1"/>
      <w:marLeft w:val="0"/>
      <w:marRight w:val="0"/>
      <w:marTop w:val="0"/>
      <w:marBottom w:val="0"/>
      <w:divBdr>
        <w:top w:val="none" w:sz="0" w:space="0" w:color="auto"/>
        <w:left w:val="none" w:sz="0" w:space="0" w:color="auto"/>
        <w:bottom w:val="none" w:sz="0" w:space="0" w:color="auto"/>
        <w:right w:val="none" w:sz="0" w:space="0" w:color="auto"/>
      </w:divBdr>
      <w:divsChild>
        <w:div w:id="224723526">
          <w:marLeft w:val="0"/>
          <w:marRight w:val="0"/>
          <w:marTop w:val="0"/>
          <w:marBottom w:val="0"/>
          <w:divBdr>
            <w:top w:val="none" w:sz="0" w:space="0" w:color="auto"/>
            <w:left w:val="none" w:sz="0" w:space="0" w:color="auto"/>
            <w:bottom w:val="none" w:sz="0" w:space="0" w:color="auto"/>
            <w:right w:val="none" w:sz="0" w:space="0" w:color="auto"/>
          </w:divBdr>
          <w:divsChild>
            <w:div w:id="672684475">
              <w:marLeft w:val="0"/>
              <w:marRight w:val="0"/>
              <w:marTop w:val="0"/>
              <w:marBottom w:val="0"/>
              <w:divBdr>
                <w:top w:val="none" w:sz="0" w:space="0" w:color="auto"/>
                <w:left w:val="none" w:sz="0" w:space="0" w:color="auto"/>
                <w:bottom w:val="none" w:sz="0" w:space="0" w:color="auto"/>
                <w:right w:val="none" w:sz="0" w:space="0" w:color="auto"/>
              </w:divBdr>
            </w:div>
          </w:divsChild>
        </w:div>
        <w:div w:id="1772237768">
          <w:marLeft w:val="0"/>
          <w:marRight w:val="0"/>
          <w:marTop w:val="0"/>
          <w:marBottom w:val="0"/>
          <w:divBdr>
            <w:top w:val="none" w:sz="0" w:space="0" w:color="auto"/>
            <w:left w:val="none" w:sz="0" w:space="0" w:color="auto"/>
            <w:bottom w:val="none" w:sz="0" w:space="0" w:color="auto"/>
            <w:right w:val="none" w:sz="0" w:space="0" w:color="auto"/>
          </w:divBdr>
          <w:divsChild>
            <w:div w:id="829756430">
              <w:marLeft w:val="0"/>
              <w:marRight w:val="0"/>
              <w:marTop w:val="0"/>
              <w:marBottom w:val="0"/>
              <w:divBdr>
                <w:top w:val="none" w:sz="0" w:space="0" w:color="auto"/>
                <w:left w:val="none" w:sz="0" w:space="0" w:color="auto"/>
                <w:bottom w:val="none" w:sz="0" w:space="0" w:color="auto"/>
                <w:right w:val="none" w:sz="0" w:space="0" w:color="auto"/>
              </w:divBdr>
              <w:divsChild>
                <w:div w:id="3826597">
                  <w:marLeft w:val="0"/>
                  <w:marRight w:val="0"/>
                  <w:marTop w:val="120"/>
                  <w:marBottom w:val="120"/>
                  <w:divBdr>
                    <w:top w:val="none" w:sz="0" w:space="0" w:color="auto"/>
                    <w:left w:val="none" w:sz="0" w:space="0" w:color="auto"/>
                    <w:bottom w:val="none" w:sz="0" w:space="0" w:color="auto"/>
                    <w:right w:val="none" w:sz="0" w:space="0" w:color="auto"/>
                  </w:divBdr>
                  <w:divsChild>
                    <w:div w:id="971639675">
                      <w:marLeft w:val="0"/>
                      <w:marRight w:val="0"/>
                      <w:marTop w:val="0"/>
                      <w:marBottom w:val="0"/>
                      <w:divBdr>
                        <w:top w:val="none" w:sz="0" w:space="0" w:color="auto"/>
                        <w:left w:val="none" w:sz="0" w:space="0" w:color="auto"/>
                        <w:bottom w:val="none" w:sz="0" w:space="0" w:color="auto"/>
                        <w:right w:val="none" w:sz="0" w:space="0" w:color="auto"/>
                      </w:divBdr>
                      <w:divsChild>
                        <w:div w:id="2090417655">
                          <w:marLeft w:val="0"/>
                          <w:marRight w:val="0"/>
                          <w:marTop w:val="0"/>
                          <w:marBottom w:val="0"/>
                          <w:divBdr>
                            <w:top w:val="none" w:sz="0" w:space="0" w:color="auto"/>
                            <w:left w:val="none" w:sz="0" w:space="0" w:color="auto"/>
                            <w:bottom w:val="none" w:sz="0" w:space="0" w:color="auto"/>
                            <w:right w:val="none" w:sz="0" w:space="0" w:color="auto"/>
                          </w:divBdr>
                        </w:div>
                      </w:divsChild>
                    </w:div>
                    <w:div w:id="1176961397">
                      <w:marLeft w:val="0"/>
                      <w:marRight w:val="0"/>
                      <w:marTop w:val="0"/>
                      <w:marBottom w:val="0"/>
                      <w:divBdr>
                        <w:top w:val="none" w:sz="0" w:space="0" w:color="auto"/>
                        <w:left w:val="none" w:sz="0" w:space="0" w:color="auto"/>
                        <w:bottom w:val="none" w:sz="0" w:space="0" w:color="auto"/>
                        <w:right w:val="none" w:sz="0" w:space="0" w:color="auto"/>
                      </w:divBdr>
                      <w:divsChild>
                        <w:div w:id="196426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226936">
                  <w:marLeft w:val="0"/>
                  <w:marRight w:val="0"/>
                  <w:marTop w:val="0"/>
                  <w:marBottom w:val="0"/>
                  <w:divBdr>
                    <w:top w:val="none" w:sz="0" w:space="0" w:color="auto"/>
                    <w:left w:val="none" w:sz="0" w:space="0" w:color="auto"/>
                    <w:bottom w:val="none" w:sz="0" w:space="0" w:color="auto"/>
                    <w:right w:val="none" w:sz="0" w:space="0" w:color="auto"/>
                  </w:divBdr>
                  <w:divsChild>
                    <w:div w:id="1460302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56544">
          <w:marLeft w:val="0"/>
          <w:marRight w:val="0"/>
          <w:marTop w:val="0"/>
          <w:marBottom w:val="0"/>
          <w:divBdr>
            <w:top w:val="none" w:sz="0" w:space="0" w:color="auto"/>
            <w:left w:val="none" w:sz="0" w:space="0" w:color="auto"/>
            <w:bottom w:val="none" w:sz="0" w:space="0" w:color="auto"/>
            <w:right w:val="none" w:sz="0" w:space="0" w:color="auto"/>
          </w:divBdr>
          <w:divsChild>
            <w:div w:id="587739612">
              <w:marLeft w:val="0"/>
              <w:marRight w:val="0"/>
              <w:marTop w:val="0"/>
              <w:marBottom w:val="0"/>
              <w:divBdr>
                <w:top w:val="none" w:sz="0" w:space="0" w:color="auto"/>
                <w:left w:val="none" w:sz="0" w:space="0" w:color="auto"/>
                <w:bottom w:val="none" w:sz="0" w:space="0" w:color="auto"/>
                <w:right w:val="none" w:sz="0" w:space="0" w:color="auto"/>
              </w:divBdr>
              <w:divsChild>
                <w:div w:id="1570461731">
                  <w:marLeft w:val="0"/>
                  <w:marRight w:val="0"/>
                  <w:marTop w:val="120"/>
                  <w:marBottom w:val="120"/>
                  <w:divBdr>
                    <w:top w:val="none" w:sz="0" w:space="0" w:color="auto"/>
                    <w:left w:val="none" w:sz="0" w:space="0" w:color="auto"/>
                    <w:bottom w:val="none" w:sz="0" w:space="0" w:color="auto"/>
                    <w:right w:val="none" w:sz="0" w:space="0" w:color="auto"/>
                  </w:divBdr>
                  <w:divsChild>
                    <w:div w:id="1151679590">
                      <w:marLeft w:val="0"/>
                      <w:marRight w:val="0"/>
                      <w:marTop w:val="0"/>
                      <w:marBottom w:val="0"/>
                      <w:divBdr>
                        <w:top w:val="none" w:sz="0" w:space="0" w:color="auto"/>
                        <w:left w:val="none" w:sz="0" w:space="0" w:color="auto"/>
                        <w:bottom w:val="none" w:sz="0" w:space="0" w:color="auto"/>
                        <w:right w:val="none" w:sz="0" w:space="0" w:color="auto"/>
                      </w:divBdr>
                      <w:divsChild>
                        <w:div w:id="183791292">
                          <w:marLeft w:val="0"/>
                          <w:marRight w:val="0"/>
                          <w:marTop w:val="0"/>
                          <w:marBottom w:val="0"/>
                          <w:divBdr>
                            <w:top w:val="none" w:sz="0" w:space="0" w:color="auto"/>
                            <w:left w:val="none" w:sz="0" w:space="0" w:color="auto"/>
                            <w:bottom w:val="none" w:sz="0" w:space="0" w:color="auto"/>
                            <w:right w:val="none" w:sz="0" w:space="0" w:color="auto"/>
                          </w:divBdr>
                        </w:div>
                      </w:divsChild>
                    </w:div>
                    <w:div w:id="82148156">
                      <w:marLeft w:val="0"/>
                      <w:marRight w:val="0"/>
                      <w:marTop w:val="0"/>
                      <w:marBottom w:val="0"/>
                      <w:divBdr>
                        <w:top w:val="none" w:sz="0" w:space="0" w:color="auto"/>
                        <w:left w:val="none" w:sz="0" w:space="0" w:color="auto"/>
                        <w:bottom w:val="none" w:sz="0" w:space="0" w:color="auto"/>
                        <w:right w:val="none" w:sz="0" w:space="0" w:color="auto"/>
                      </w:divBdr>
                      <w:divsChild>
                        <w:div w:id="81725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531029">
                  <w:marLeft w:val="0"/>
                  <w:marRight w:val="0"/>
                  <w:marTop w:val="0"/>
                  <w:marBottom w:val="0"/>
                  <w:divBdr>
                    <w:top w:val="none" w:sz="0" w:space="0" w:color="auto"/>
                    <w:left w:val="none" w:sz="0" w:space="0" w:color="auto"/>
                    <w:bottom w:val="none" w:sz="0" w:space="0" w:color="auto"/>
                    <w:right w:val="none" w:sz="0" w:space="0" w:color="auto"/>
                  </w:divBdr>
                  <w:divsChild>
                    <w:div w:id="1593851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991384">
          <w:marLeft w:val="0"/>
          <w:marRight w:val="0"/>
          <w:marTop w:val="0"/>
          <w:marBottom w:val="0"/>
          <w:divBdr>
            <w:top w:val="none" w:sz="0" w:space="0" w:color="auto"/>
            <w:left w:val="none" w:sz="0" w:space="0" w:color="auto"/>
            <w:bottom w:val="none" w:sz="0" w:space="0" w:color="auto"/>
            <w:right w:val="none" w:sz="0" w:space="0" w:color="auto"/>
          </w:divBdr>
          <w:divsChild>
            <w:div w:id="179977862">
              <w:marLeft w:val="0"/>
              <w:marRight w:val="0"/>
              <w:marTop w:val="0"/>
              <w:marBottom w:val="0"/>
              <w:divBdr>
                <w:top w:val="none" w:sz="0" w:space="0" w:color="auto"/>
                <w:left w:val="none" w:sz="0" w:space="0" w:color="auto"/>
                <w:bottom w:val="none" w:sz="0" w:space="0" w:color="auto"/>
                <w:right w:val="none" w:sz="0" w:space="0" w:color="auto"/>
              </w:divBdr>
              <w:divsChild>
                <w:div w:id="1505050208">
                  <w:marLeft w:val="0"/>
                  <w:marRight w:val="0"/>
                  <w:marTop w:val="120"/>
                  <w:marBottom w:val="120"/>
                  <w:divBdr>
                    <w:top w:val="none" w:sz="0" w:space="0" w:color="auto"/>
                    <w:left w:val="none" w:sz="0" w:space="0" w:color="auto"/>
                    <w:bottom w:val="none" w:sz="0" w:space="0" w:color="auto"/>
                    <w:right w:val="none" w:sz="0" w:space="0" w:color="auto"/>
                  </w:divBdr>
                  <w:divsChild>
                    <w:div w:id="1521704042">
                      <w:marLeft w:val="0"/>
                      <w:marRight w:val="0"/>
                      <w:marTop w:val="0"/>
                      <w:marBottom w:val="0"/>
                      <w:divBdr>
                        <w:top w:val="none" w:sz="0" w:space="0" w:color="auto"/>
                        <w:left w:val="none" w:sz="0" w:space="0" w:color="auto"/>
                        <w:bottom w:val="none" w:sz="0" w:space="0" w:color="auto"/>
                        <w:right w:val="none" w:sz="0" w:space="0" w:color="auto"/>
                      </w:divBdr>
                      <w:divsChild>
                        <w:div w:id="547030058">
                          <w:marLeft w:val="0"/>
                          <w:marRight w:val="0"/>
                          <w:marTop w:val="0"/>
                          <w:marBottom w:val="0"/>
                          <w:divBdr>
                            <w:top w:val="none" w:sz="0" w:space="0" w:color="auto"/>
                            <w:left w:val="none" w:sz="0" w:space="0" w:color="auto"/>
                            <w:bottom w:val="none" w:sz="0" w:space="0" w:color="auto"/>
                            <w:right w:val="none" w:sz="0" w:space="0" w:color="auto"/>
                          </w:divBdr>
                        </w:div>
                      </w:divsChild>
                    </w:div>
                    <w:div w:id="2043628355">
                      <w:marLeft w:val="0"/>
                      <w:marRight w:val="0"/>
                      <w:marTop w:val="0"/>
                      <w:marBottom w:val="0"/>
                      <w:divBdr>
                        <w:top w:val="none" w:sz="0" w:space="0" w:color="auto"/>
                        <w:left w:val="none" w:sz="0" w:space="0" w:color="auto"/>
                        <w:bottom w:val="none" w:sz="0" w:space="0" w:color="auto"/>
                        <w:right w:val="none" w:sz="0" w:space="0" w:color="auto"/>
                      </w:divBdr>
                    </w:div>
                    <w:div w:id="357389133">
                      <w:marLeft w:val="0"/>
                      <w:marRight w:val="0"/>
                      <w:marTop w:val="0"/>
                      <w:marBottom w:val="0"/>
                      <w:divBdr>
                        <w:top w:val="none" w:sz="0" w:space="0" w:color="auto"/>
                        <w:left w:val="none" w:sz="0" w:space="0" w:color="auto"/>
                        <w:bottom w:val="none" w:sz="0" w:space="0" w:color="auto"/>
                        <w:right w:val="none" w:sz="0" w:space="0" w:color="auto"/>
                      </w:divBdr>
                      <w:divsChild>
                        <w:div w:id="1631014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364068">
                  <w:marLeft w:val="0"/>
                  <w:marRight w:val="0"/>
                  <w:marTop w:val="0"/>
                  <w:marBottom w:val="0"/>
                  <w:divBdr>
                    <w:top w:val="none" w:sz="0" w:space="0" w:color="auto"/>
                    <w:left w:val="none" w:sz="0" w:space="0" w:color="auto"/>
                    <w:bottom w:val="none" w:sz="0" w:space="0" w:color="auto"/>
                    <w:right w:val="none" w:sz="0" w:space="0" w:color="auto"/>
                  </w:divBdr>
                  <w:divsChild>
                    <w:div w:id="294987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brary.municode.com/" TargetMode="External"/><Relationship Id="rId18" Type="http://schemas.openxmlformats.org/officeDocument/2006/relationships/hyperlink" Target="https://library.municode.com/va/winchester/codes/zoning_and_subdivision_ordinance?nodeId=ZOOR_ART18GEPR_S18-20STMASUDIMESARE" TargetMode="External"/><Relationship Id="rId26" Type="http://schemas.openxmlformats.org/officeDocument/2006/relationships/hyperlink" Target="https://library.municode.com/" TargetMode="External"/><Relationship Id="rId3" Type="http://schemas.openxmlformats.org/officeDocument/2006/relationships/settings" Target="settings.xml"/><Relationship Id="rId21" Type="http://schemas.openxmlformats.org/officeDocument/2006/relationships/hyperlink" Target="https://library.municode.com/va/winchester/codes/zoning_and_subdivision_ordinance?nodeId=ZOOR_ART18GEPR_S18-8SI" TargetMode="External"/><Relationship Id="rId34" Type="http://schemas.openxmlformats.org/officeDocument/2006/relationships/theme" Target="theme/theme1.xml"/><Relationship Id="rId7" Type="http://schemas.openxmlformats.org/officeDocument/2006/relationships/hyperlink" Target="https://library.municode.com/" TargetMode="External"/><Relationship Id="rId12" Type="http://schemas.openxmlformats.org/officeDocument/2006/relationships/hyperlink" Target="https://library.municode.com/" TargetMode="External"/><Relationship Id="rId17" Type="http://schemas.openxmlformats.org/officeDocument/2006/relationships/hyperlink" Target="https://library.municode.com/va/winchester/ordinances/zoning_and_subdivision_ordinance?nodeId=847719" TargetMode="External"/><Relationship Id="rId25" Type="http://schemas.openxmlformats.org/officeDocument/2006/relationships/hyperlink" Target="https://library.municode.com/"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ibrary.municode.com/va/winchester/codes/zoning_and_subdivision_ordinance?nodeId=ZOOR_ART1DE" TargetMode="External"/><Relationship Id="rId20" Type="http://schemas.openxmlformats.org/officeDocument/2006/relationships/hyperlink" Target="https://library.municode.com/va/winchester/codes/zoning_and_subdivision_ordinance?nodeId=ZOOR_ART18GEPR_S18-6MIOREPA" TargetMode="External"/><Relationship Id="rId29" Type="http://schemas.openxmlformats.org/officeDocument/2006/relationships/hyperlink" Target="https://library.municode.com/va/winchester/ordinances/zoning_and_subdivision_ordinance?nodeId=1006329" TargetMode="External"/><Relationship Id="rId1" Type="http://schemas.openxmlformats.org/officeDocument/2006/relationships/numbering" Target="numbering.xml"/><Relationship Id="rId6" Type="http://schemas.openxmlformats.org/officeDocument/2006/relationships/hyperlink" Target="https://library.municode.com/" TargetMode="External"/><Relationship Id="rId11" Type="http://schemas.openxmlformats.org/officeDocument/2006/relationships/hyperlink" Target="https://library.municode.com/" TargetMode="External"/><Relationship Id="rId24" Type="http://schemas.openxmlformats.org/officeDocument/2006/relationships/hyperlink" Target="https://library.municode.com/" TargetMode="External"/><Relationship Id="rId32" Type="http://schemas.openxmlformats.org/officeDocument/2006/relationships/hyperlink" Target="https://library.municode.com/va/winchester/ordinances/zoning_and_subdivision_ordinance?nodeId=1223655" TargetMode="External"/><Relationship Id="rId5" Type="http://schemas.openxmlformats.org/officeDocument/2006/relationships/hyperlink" Target="https://library.municode.com/va/winchester/codes/zoning_and_subdivision_ordinance?nodeId=ZOOR_ART11LIINDI-1" TargetMode="External"/><Relationship Id="rId15" Type="http://schemas.openxmlformats.org/officeDocument/2006/relationships/hyperlink" Target="https://library.municode.com/" TargetMode="External"/><Relationship Id="rId23" Type="http://schemas.openxmlformats.org/officeDocument/2006/relationships/hyperlink" Target="https://library.municode.com/va/winchester/ordinances/zoning_and_subdivision_ordinance?nodeId=1154445" TargetMode="External"/><Relationship Id="rId28" Type="http://schemas.openxmlformats.org/officeDocument/2006/relationships/hyperlink" Target="https://library.municode.com/" TargetMode="External"/><Relationship Id="rId10" Type="http://schemas.openxmlformats.org/officeDocument/2006/relationships/hyperlink" Target="https://library.municode.com/" TargetMode="External"/><Relationship Id="rId19" Type="http://schemas.openxmlformats.org/officeDocument/2006/relationships/hyperlink" Target="https://library.municode.com/va/winchester/codes/zoning_and_subdivision_ordinance?nodeId=ZOOR_ART18GEPR_S18-6MIOREPA" TargetMode="External"/><Relationship Id="rId31" Type="http://schemas.openxmlformats.org/officeDocument/2006/relationships/hyperlink" Target="https://library.municode.com/va/winchester/codes/zoning_and_subdivision_ordinance?nodeId=ZOOR_ART18GEPR_S18-17.1SPREREVEFAUSINCO" TargetMode="External"/><Relationship Id="rId4" Type="http://schemas.openxmlformats.org/officeDocument/2006/relationships/webSettings" Target="webSettings.xml"/><Relationship Id="rId9" Type="http://schemas.openxmlformats.org/officeDocument/2006/relationships/hyperlink" Target="https://library.municode.com/" TargetMode="External"/><Relationship Id="rId14" Type="http://schemas.openxmlformats.org/officeDocument/2006/relationships/hyperlink" Target="https://library.municode.com/" TargetMode="External"/><Relationship Id="rId22" Type="http://schemas.openxmlformats.org/officeDocument/2006/relationships/hyperlink" Target="https://library.municode.com/va/winchester/ordinances/zoning_and_subdivision_ordinance?nodeId=1006329" TargetMode="External"/><Relationship Id="rId27" Type="http://schemas.openxmlformats.org/officeDocument/2006/relationships/hyperlink" Target="https://library.municode.com/" TargetMode="External"/><Relationship Id="rId30" Type="http://schemas.openxmlformats.org/officeDocument/2006/relationships/hyperlink" Target="https://library.municode.com/va/winchester/ordinances/zoning_and_subdivision_ordinance?nodeId=1099589" TargetMode="External"/><Relationship Id="rId8" Type="http://schemas.openxmlformats.org/officeDocument/2006/relationships/hyperlink" Target="https://library.municod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1846</Words>
  <Characters>10523</Characters>
  <Application>Microsoft Office Word</Application>
  <DocSecurity>0</DocSecurity>
  <Lines>87</Lines>
  <Paragraphs>24</Paragraphs>
  <ScaleCrop>false</ScaleCrop>
  <Company/>
  <LinksUpToDate>false</LinksUpToDate>
  <CharactersWithSpaces>12345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Pete@mphrealtypartners.com</dc:creator>
  <cp:keywords/>
  <dc:description/>
  <cp:lastModifiedBy>Pete@mphrealtypartners.com</cp:lastModifiedBy>
  <cp:revision>1</cp:revision>
  <dcterms:created xsi:type="dcterms:W3CDTF">2024-06-06T14:38:00Z</dcterms:created>
  <dcterms:modified xsi:type="dcterms:W3CDTF">2024-06-06T14:39:00Z</dcterms:modified>
</cp:coreProperties>
</file>