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header1.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Section"/>
        <w:pBdr/>
        <w:spacing/>
        <w:rPr/>
      </w:pPr>
      <w:r>
        <w:rPr/>
        <w:t xml:space="preserve">Sec. 4-87.</w:t>
      </w:r>
      <w:r>
        <w:rPr/>
        <w:t xml:space="preserve"> </w:t>
      </w:r>
      <w:r>
        <w:rPr/>
        <w:t xml:space="preserve">State Road 80 overlay district.</w:t>
      </w:r>
    </w:p>
    <w:p>
      <w:pPr>
        <w:pStyle w:val="Paragraph1"/>
        <w:pBdr/>
        <w:spacing/>
        <w:rPr/>
      </w:pPr>
      <w:r>
        <w:rPr>
          <w:rStyle w:val="Paragraph1"/>
        </w:rPr>
        <w:t xml:space="preserve">4-87.1. </w:t>
      </w:r>
      <w:r>
        <w:rPr>
          <w:i/>
        </w:rPr>
        <w:t xml:space="preserve">Purpose and intent.</w:t>
      </w:r>
      <w:r>
        <w:rPr>
          <w:rStyle w:val="Paragraph1"/>
        </w:rPr>
        <w:t xml:space="preserve"> The purpose and intent of the State Road 80 Overlay District code is to: </w:t>
      </w:r>
    </w:p>
    <w:p>
      <w:pPr>
        <w:pStyle w:val="List2"/>
        <w:pBdr/>
        <w:spacing/>
        <w:rPr/>
      </w:pPr>
      <w:r>
        <w:rPr/>
        <w:t xml:space="preserve">(1)</w:t>
      </w:r>
      <w:r>
        <w:rPr/>
        <w:tab/>
        <w:t xml:space="preserve"/>
      </w:r>
      <w:r>
        <w:rPr/>
        <w:t xml:space="preserve">Guide future growth and redevelopment along SR 80 in a manner that maintains and enhances the sense of place and aesthetic/visual quality of the corridor, makes efficient use of public infrastructure, protects existing neighborhoods, and balances automobile-oriented development patterns with multi-modal transportation choices. </w:t>
      </w:r>
    </w:p>
    <w:p>
      <w:pPr>
        <w:pStyle w:val="List2"/>
        <w:pBdr/>
        <w:spacing/>
        <w:rPr/>
      </w:pPr>
      <w:r>
        <w:rPr/>
        <w:t xml:space="preserve">(2)</w:t>
      </w:r>
      <w:r>
        <w:rPr/>
        <w:tab/>
        <w:t xml:space="preserve"/>
      </w:r>
      <w:r>
        <w:rPr/>
        <w:t xml:space="preserve">Prevent the expansion of a "strip" commercial development pattern, and create a physically attractive, and functionally integrated built environment through cohesive and complimentary site development and design standards provided for herein. </w:t>
      </w:r>
    </w:p>
    <w:p>
      <w:pPr>
        <w:pStyle w:val="Paragraph1"/>
        <w:pBdr/>
        <w:spacing/>
        <w:rPr/>
      </w:pPr>
      <w:r>
        <w:rPr>
          <w:rStyle w:val="Paragraph1"/>
        </w:rPr>
        <w:t xml:space="preserve">4-87.2. </w:t>
      </w:r>
      <w:r>
        <w:rPr>
          <w:i/>
        </w:rPr>
        <w:t xml:space="preserve">Applicability.</w:t>
      </w:r>
    </w:p>
    <w:p>
      <w:pPr>
        <w:pStyle w:val="List2"/>
        <w:pBdr/>
        <w:spacing/>
        <w:rPr/>
      </w:pPr>
      <w:r>
        <w:rPr/>
        <w:t xml:space="preserve">(1)</w:t>
      </w:r>
      <w:r>
        <w:rPr/>
        <w:tab/>
        <w:t xml:space="preserve"/>
      </w:r>
      <w:r>
        <w:rPr/>
        <w:t xml:space="preserve">The State Road 80 Overlay District all property with frontage on the SR 80 right-of-way. </w:t>
      </w:r>
    </w:p>
    <w:p>
      <w:pPr>
        <w:pStyle w:val="List2"/>
        <w:pBdr/>
        <w:spacing/>
        <w:rPr/>
      </w:pPr>
      <w:r>
        <w:rPr/>
        <w:t xml:space="preserve">(2)</w:t>
      </w:r>
      <w:r>
        <w:rPr/>
        <w:tab/>
        <w:t xml:space="preserve"/>
      </w:r>
      <w:r>
        <w:rPr/>
        <w:t xml:space="preserve">Provisions of this subsection shall apply to all development and redevelopment (as defined in 4-80.9.2.) of property with frontage on SR 80. </w:t>
      </w:r>
    </w:p>
    <w:p>
      <w:pPr>
        <w:pStyle w:val="List2"/>
        <w:pBdr/>
        <w:spacing/>
        <w:rPr/>
      </w:pPr>
      <w:r>
        <w:rPr/>
        <w:t xml:space="preserve">(3)</w:t>
      </w:r>
      <w:r>
        <w:rPr/>
        <w:tab/>
        <w:t xml:space="preserve"/>
      </w:r>
      <w:r>
        <w:rPr/>
        <w:t xml:space="preserve">Existing PUDs may voluntarily bring a master concept plan into compliance with the regulations contained in this section administratively. Uses that are prohibited, or subject to special exception approval (in accordance with subsection 4-82.4), and are approved as part of an existing PUD, must comply with this section unless subject to a building permit approval. </w:t>
      </w:r>
    </w:p>
    <w:p>
      <w:pPr>
        <w:pStyle w:val="List2"/>
        <w:pBdr/>
        <w:spacing/>
        <w:rPr/>
      </w:pPr>
      <w:r>
        <w:rPr/>
        <w:t xml:space="preserve">(4)</w:t>
      </w:r>
      <w:r>
        <w:rPr/>
        <w:tab/>
        <w:t xml:space="preserve"/>
      </w:r>
      <w:r>
        <w:rPr/>
        <w:t xml:space="preserve">If a parcel is in one (1) or more overlay districts, the more restrictive overlay standards shall apply. </w:t>
      </w:r>
    </w:p>
    <w:p>
      <w:pPr>
        <w:pStyle w:val="Paragraph1"/>
        <w:pBdr/>
        <w:spacing/>
        <w:rPr/>
      </w:pPr>
      <w:r>
        <w:rPr>
          <w:rStyle w:val="Paragraph1"/>
        </w:rPr>
        <w:t xml:space="preserve">4-87.3. </w:t>
      </w:r>
      <w:r>
        <w:rPr>
          <w:i/>
        </w:rPr>
        <w:t xml:space="preserve">Permitted uses.</w:t>
      </w:r>
      <w:r>
        <w:rPr>
          <w:rStyle w:val="Paragraph1"/>
        </w:rPr>
        <w:t xml:space="preserve"> Uses within the State Road 80 Overlay District shall be permitted in accordance with the underlying zoning district, except as provided for herein. </w:t>
      </w:r>
    </w:p>
    <w:p>
      <w:pPr>
        <w:pStyle w:val="Hang2"/>
        <w:pBdr/>
        <w:spacing/>
        <w:rPr/>
      </w:pPr>
      <w:r>
        <w:rPr>
          <w:rStyle w:val="Hang2"/>
        </w:rPr>
        <w:t xml:space="preserve">4-87.3.1. </w:t>
      </w:r>
      <w:r>
        <w:rPr>
          <w:i/>
        </w:rPr>
        <w:t xml:space="preserve">Special exception approval required.</w:t>
      </w:r>
      <w:r>
        <w:rPr>
          <w:rStyle w:val="Hang2"/>
        </w:rPr>
        <w:t xml:space="preserve"> The following uses require Special Exception approval: </w:t>
      </w:r>
    </w:p>
    <w:p>
      <w:pPr>
        <w:pStyle w:val="List2"/>
        <w:pBdr/>
        <w:spacing/>
        <w:rPr/>
      </w:pPr>
      <w:r>
        <w:rPr/>
        <w:t xml:space="preserve">A.</w:t>
      </w:r>
      <w:r>
        <w:rPr/>
        <w:tab/>
        <w:t xml:space="preserve"/>
      </w:r>
      <w:r>
        <w:rPr/>
        <w:t xml:space="preserve">Auto repair </w:t>
      </w:r>
    </w:p>
    <w:p>
      <w:pPr>
        <w:pStyle w:val="List2"/>
        <w:pBdr/>
        <w:spacing/>
        <w:rPr/>
      </w:pPr>
      <w:r>
        <w:rPr/>
        <w:t xml:space="preserve">B.</w:t>
      </w:r>
      <w:r>
        <w:rPr/>
        <w:tab/>
        <w:t xml:space="preserve"/>
      </w:r>
      <w:r>
        <w:rPr/>
        <w:t xml:space="preserve">Animal Sales and Services </w:t>
      </w:r>
    </w:p>
    <w:p>
      <w:pPr>
        <w:pStyle w:val="List2"/>
        <w:pBdr/>
        <w:spacing/>
        <w:rPr/>
      </w:pPr>
      <w:r>
        <w:rPr/>
        <w:t xml:space="preserve">C.</w:t>
      </w:r>
      <w:r>
        <w:rPr/>
        <w:tab/>
        <w:t xml:space="preserve"/>
      </w:r>
      <w:r>
        <w:rPr/>
        <w:t xml:space="preserve">Bus station/depot </w:t>
      </w:r>
    </w:p>
    <w:p>
      <w:pPr>
        <w:pStyle w:val="List2"/>
        <w:pBdr/>
        <w:spacing/>
        <w:rPr/>
      </w:pPr>
      <w:r>
        <w:rPr/>
        <w:t xml:space="preserve">D.</w:t>
      </w:r>
      <w:r>
        <w:rPr/>
        <w:tab/>
        <w:t xml:space="preserve"/>
      </w:r>
      <w:r>
        <w:rPr/>
        <w:t xml:space="preserve">Car washes </w:t>
      </w:r>
    </w:p>
    <w:p>
      <w:pPr>
        <w:pStyle w:val="List2"/>
        <w:pBdr/>
        <w:spacing/>
        <w:rPr/>
      </w:pPr>
      <w:r>
        <w:rPr/>
        <w:t xml:space="preserve">E.</w:t>
      </w:r>
      <w:r>
        <w:rPr/>
        <w:tab/>
        <w:t xml:space="preserve"/>
      </w:r>
      <w:r>
        <w:rPr/>
        <w:t xml:space="preserve">Convenience Stores with Gas Pumps </w:t>
      </w:r>
    </w:p>
    <w:p>
      <w:pPr>
        <w:pStyle w:val="List2"/>
        <w:pBdr/>
        <w:spacing/>
        <w:rPr/>
      </w:pPr>
      <w:r>
        <w:rPr/>
        <w:t xml:space="preserve">F.</w:t>
      </w:r>
      <w:r>
        <w:rPr/>
        <w:tab/>
        <w:t xml:space="preserve"/>
      </w:r>
      <w:r>
        <w:rPr/>
        <w:t xml:space="preserve">Food and Beverage Sales/Establishments: Bars, Night clubs </w:t>
      </w:r>
    </w:p>
    <w:p>
      <w:pPr>
        <w:pStyle w:val="List2"/>
        <w:pBdr/>
        <w:spacing/>
        <w:rPr/>
      </w:pPr>
      <w:r>
        <w:rPr/>
        <w:t xml:space="preserve">G.</w:t>
      </w:r>
      <w:r>
        <w:rPr/>
        <w:tab/>
        <w:t xml:space="preserve"/>
      </w:r>
      <w:r>
        <w:rPr/>
        <w:t xml:space="preserve">Fast Food Restaurants </w:t>
      </w:r>
    </w:p>
    <w:p>
      <w:pPr>
        <w:pStyle w:val="List2"/>
        <w:pBdr/>
        <w:spacing/>
        <w:rPr/>
      </w:pPr>
      <w:r>
        <w:rPr/>
        <w:t xml:space="preserve">H.</w:t>
      </w:r>
      <w:r>
        <w:rPr/>
        <w:tab/>
        <w:t xml:space="preserve"/>
      </w:r>
      <w:r>
        <w:rPr/>
        <w:t xml:space="preserve">Gas stations </w:t>
      </w:r>
    </w:p>
    <w:p>
      <w:pPr>
        <w:pStyle w:val="List2"/>
        <w:pBdr/>
        <w:spacing/>
        <w:rPr/>
      </w:pPr>
      <w:r>
        <w:rPr/>
        <w:t xml:space="preserve">I.</w:t>
      </w:r>
      <w:r>
        <w:rPr/>
        <w:tab/>
        <w:t xml:space="preserve"/>
      </w:r>
      <w:r>
        <w:rPr/>
        <w:t xml:space="preserve">Institutional Housing </w:t>
      </w:r>
    </w:p>
    <w:p>
      <w:pPr>
        <w:pStyle w:val="List2"/>
        <w:pBdr/>
        <w:spacing/>
        <w:rPr/>
      </w:pPr>
      <w:r>
        <w:rPr/>
        <w:t xml:space="preserve">J.</w:t>
      </w:r>
      <w:r>
        <w:rPr/>
        <w:tab/>
        <w:t xml:space="preserve"/>
      </w:r>
      <w:r>
        <w:rPr/>
        <w:t xml:space="preserve">Laboratories </w:t>
      </w:r>
    </w:p>
    <w:p>
      <w:pPr>
        <w:pStyle w:val="List2"/>
        <w:pBdr/>
        <w:spacing/>
        <w:rPr/>
      </w:pPr>
      <w:r>
        <w:rPr/>
        <w:t xml:space="preserve">K.</w:t>
      </w:r>
      <w:r>
        <w:rPr/>
        <w:tab/>
        <w:t xml:space="preserve"/>
      </w:r>
      <w:r>
        <w:rPr/>
        <w:t xml:space="preserve">Maintenance and Repair Services </w:t>
      </w:r>
    </w:p>
    <w:p>
      <w:pPr>
        <w:pStyle w:val="List2"/>
        <w:pBdr/>
        <w:spacing/>
        <w:rPr/>
      </w:pPr>
      <w:r>
        <w:rPr/>
        <w:t xml:space="preserve">L.</w:t>
      </w:r>
      <w:r>
        <w:rPr/>
        <w:tab/>
        <w:t xml:space="preserve"/>
      </w:r>
      <w:r>
        <w:rPr/>
        <w:t xml:space="preserve">Mini-warehouse </w:t>
      </w:r>
    </w:p>
    <w:p>
      <w:pPr>
        <w:pStyle w:val="List2"/>
        <w:pBdr/>
        <w:spacing/>
        <w:rPr/>
      </w:pPr>
      <w:r>
        <w:rPr/>
        <w:t xml:space="preserve">M.</w:t>
      </w:r>
      <w:r>
        <w:rPr/>
        <w:tab/>
        <w:t xml:space="preserve"/>
      </w:r>
      <w:r>
        <w:rPr/>
        <w:t xml:space="preserve">Outdoor Sales Area </w:t>
      </w:r>
    </w:p>
    <w:p>
      <w:pPr>
        <w:pStyle w:val="List2"/>
        <w:pBdr/>
        <w:spacing/>
        <w:rPr/>
      </w:pPr>
      <w:r>
        <w:rPr/>
        <w:t xml:space="preserve">N.</w:t>
      </w:r>
      <w:r>
        <w:rPr/>
        <w:tab/>
        <w:t xml:space="preserve"/>
      </w:r>
      <w:r>
        <w:rPr/>
        <w:t xml:space="preserve">Retail Sales/Rental Establishments </w:t>
      </w:r>
    </w:p>
    <w:p>
      <w:pPr>
        <w:pStyle w:val="List2"/>
        <w:pBdr/>
        <w:spacing/>
        <w:rPr/>
      </w:pPr>
      <w:r>
        <w:rPr/>
        <w:t xml:space="preserve">O.</w:t>
      </w:r>
      <w:r>
        <w:rPr/>
        <w:tab/>
        <w:t xml:space="preserve"/>
      </w:r>
      <w:r>
        <w:rPr/>
        <w:t xml:space="preserve">Pawnshops </w:t>
      </w:r>
    </w:p>
    <w:p>
      <w:pPr>
        <w:pStyle w:val="List2"/>
        <w:pBdr/>
        <w:spacing/>
        <w:rPr/>
      </w:pPr>
      <w:r>
        <w:rPr/>
        <w:t xml:space="preserve">P.</w:t>
      </w:r>
      <w:r>
        <w:rPr/>
        <w:tab/>
        <w:t xml:space="preserve"/>
      </w:r>
      <w:r>
        <w:rPr/>
        <w:t xml:space="preserve">Vehicle/Equipment Sales and Service </w:t>
      </w:r>
    </w:p>
    <w:p>
      <w:pPr>
        <w:pStyle w:val="Hang2"/>
        <w:pBdr/>
        <w:spacing/>
        <w:rPr/>
      </w:pPr>
      <w:r>
        <w:rPr>
          <w:rStyle w:val="Hang2"/>
        </w:rPr>
        <w:t xml:space="preserve">4-87.3.2. </w:t>
      </w:r>
      <w:r>
        <w:rPr>
          <w:i/>
        </w:rPr>
        <w:t xml:space="preserve">Approval criteria.</w:t>
      </w:r>
      <w:r>
        <w:rPr>
          <w:rStyle w:val="Hang2"/>
        </w:rPr>
        <w:t xml:space="preserve"> The following criteria will be utilized to evaluate special exception requests in the State Road 80 Overlay District in addition to criteria established in section 4-41: </w:t>
      </w:r>
    </w:p>
    <w:p>
      <w:pPr>
        <w:pStyle w:val="List2"/>
        <w:pBdr/>
        <w:spacing/>
        <w:rPr/>
      </w:pPr>
      <w:r>
        <w:rPr/>
        <w:t xml:space="preserve">A.</w:t>
      </w:r>
      <w:r>
        <w:rPr/>
        <w:tab/>
        <w:t xml:space="preserve"/>
      </w:r>
      <w:r>
        <w:rPr/>
        <w:t xml:space="preserve">Consistency with the intent of the State Road 80 Overlay District in protecting and enhancing viewsheds from SR 80 and other public roadways. </w:t>
      </w:r>
    </w:p>
    <w:p>
      <w:pPr>
        <w:pStyle w:val="List2"/>
        <w:pBdr/>
        <w:spacing/>
        <w:rPr/>
      </w:pPr>
      <w:r>
        <w:rPr/>
        <w:t xml:space="preserve">B.</w:t>
      </w:r>
      <w:r>
        <w:rPr/>
        <w:tab/>
        <w:t xml:space="preserve"/>
      </w:r>
      <w:r>
        <w:rPr/>
        <w:t xml:space="preserve">The request addresses the balance between auto-oriented design and multi-modal access, particularly pedestrian access, through enhanced design standards. </w:t>
      </w:r>
    </w:p>
    <w:p>
      <w:pPr>
        <w:pStyle w:val="List2"/>
        <w:pBdr/>
        <w:spacing/>
        <w:rPr/>
      </w:pPr>
      <w:r>
        <w:rPr/>
        <w:t xml:space="preserve">C.</w:t>
      </w:r>
      <w:r>
        <w:rPr/>
        <w:tab/>
        <w:t xml:space="preserve"/>
      </w:r>
      <w:r>
        <w:rPr/>
        <w:t xml:space="preserve">The site design standards incorporate innovative techniques to address the project's visual impact on the SR 80 corridor and demonstrate enhancements to the minimum standards. </w:t>
      </w:r>
    </w:p>
    <w:p>
      <w:pPr>
        <w:pStyle w:val="List2"/>
        <w:pBdr/>
        <w:spacing/>
        <w:rPr/>
      </w:pPr>
      <w:r>
        <w:rPr/>
        <w:t xml:space="preserve">D.</w:t>
      </w:r>
      <w:r>
        <w:rPr/>
        <w:tab/>
        <w:t xml:space="preserve"/>
      </w:r>
      <w:r>
        <w:rPr/>
        <w:t xml:space="preserve">The request demonstrates compliance with the locational criteria set forth in the Comprehensive Plan, relating the siting of intensive uses in areas with direct access to arterials roadways, connection to public utilities and infrastructure, and mitigation of impacts to residential neighborhoods. </w:t>
      </w:r>
    </w:p>
    <w:p>
      <w:pPr>
        <w:pStyle w:val="List2"/>
        <w:pBdr/>
        <w:spacing/>
        <w:rPr/>
      </w:pPr>
      <w:r>
        <w:rPr/>
        <w:t xml:space="preserve">E.</w:t>
      </w:r>
      <w:r>
        <w:rPr/>
        <w:tab/>
        <w:t xml:space="preserve"/>
      </w:r>
      <w:r>
        <w:rPr/>
        <w:t xml:space="preserve">Conditions exist which warrant the proposed use, including but not limited to demonstrated market demand and minimum spatial separation of 500 feet from a similar use. </w:t>
      </w:r>
    </w:p>
    <w:p>
      <w:pPr>
        <w:pStyle w:val="List2"/>
        <w:pBdr/>
        <w:spacing/>
        <w:rPr/>
      </w:pPr>
      <w:r>
        <w:rPr/>
        <w:t xml:space="preserve">F.</w:t>
      </w:r>
      <w:r>
        <w:rPr/>
        <w:tab/>
        <w:t xml:space="preserve"/>
      </w:r>
      <w:r>
        <w:rPr/>
        <w:t xml:space="preserve">The request will not be injurious to the neighborhood or otherwise detrimental to the public welfare. </w:t>
      </w:r>
    </w:p>
    <w:p>
      <w:pPr>
        <w:pStyle w:val="List2"/>
        <w:pBdr/>
        <w:spacing/>
        <w:rPr/>
      </w:pPr>
      <w:r>
        <w:rPr/>
        <w:t xml:space="preserve">G.</w:t>
      </w:r>
      <w:r>
        <w:rPr/>
        <w:tab/>
        <w:t xml:space="preserve"/>
      </w:r>
      <w:r>
        <w:rPr/>
        <w:t xml:space="preserve">The request will be compatible with existing or planned uses. </w:t>
      </w:r>
    </w:p>
    <w:p>
      <w:pPr>
        <w:pStyle w:val="List2"/>
        <w:pBdr/>
        <w:spacing/>
        <w:rPr/>
      </w:pPr>
      <w:r>
        <w:rPr/>
        <w:t xml:space="preserve">H.</w:t>
      </w:r>
      <w:r>
        <w:rPr/>
        <w:tab/>
        <w:t xml:space="preserve"/>
      </w:r>
      <w:r>
        <w:rPr/>
        <w:t xml:space="preserve">The request will not cause damage, hazard, nuisance or other detriment to persons or property. </w:t>
      </w:r>
    </w:p>
    <w:p>
      <w:pPr>
        <w:pStyle w:val="List2"/>
        <w:pBdr/>
        <w:spacing/>
        <w:rPr/>
      </w:pPr>
      <w:r>
        <w:rPr/>
        <w:t xml:space="preserve">I.</w:t>
      </w:r>
      <w:r>
        <w:rPr/>
        <w:tab/>
        <w:t xml:space="preserve"/>
      </w:r>
      <w:r>
        <w:rPr/>
        <w:t xml:space="preserve">The request will protect, conserve or preserve environmentally critical areas and natural resources. </w:t>
      </w:r>
    </w:p>
    <w:p>
      <w:pPr>
        <w:pStyle w:val="List2"/>
        <w:pBdr/>
        <w:spacing/>
        <w:rPr/>
      </w:pPr>
      <w:r>
        <w:rPr/>
        <w:t xml:space="preserve">J.</w:t>
      </w:r>
      <w:r>
        <w:rPr/>
        <w:tab/>
        <w:t xml:space="preserve"/>
      </w:r>
      <w:r>
        <w:rPr/>
        <w:t xml:space="preserve">The request is consistent with the goals, objectives, policies and intent of the LaBelle Comprehensive Plan. </w:t>
      </w:r>
    </w:p>
    <w:p>
      <w:pPr>
        <w:pStyle w:val="List2"/>
        <w:pBdr/>
        <w:spacing/>
        <w:rPr/>
      </w:pPr>
      <w:r>
        <w:rPr/>
        <w:t xml:space="preserve">K.</w:t>
      </w:r>
      <w:r>
        <w:rPr/>
        <w:tab/>
        <w:t xml:space="preserve"/>
      </w:r>
      <w:r>
        <w:rPr/>
        <w:t xml:space="preserve">The request is in compliance with all general zoning provisions, supplemental regulations and performance standards pertaining to the use set forth in this chapter. </w:t>
      </w:r>
    </w:p>
    <w:p>
      <w:pPr>
        <w:pStyle w:val="Hang2"/>
        <w:pBdr/>
        <w:spacing/>
        <w:rPr/>
      </w:pPr>
      <w:r>
        <w:rPr>
          <w:rStyle w:val="Hang2"/>
        </w:rPr>
        <w:t xml:space="preserve">4-87.3.3 </w:t>
      </w:r>
      <w:r>
        <w:rPr>
          <w:i/>
        </w:rPr>
        <w:t xml:space="preserve">Prohibited uses.</w:t>
      </w:r>
      <w:r>
        <w:rPr>
          <w:rStyle w:val="Hang2"/>
        </w:rPr>
        <w:t xml:space="preserve"> The following uses are prohibited within the SR 80 Overlay District: </w:t>
      </w:r>
    </w:p>
    <w:p>
      <w:pPr>
        <w:pStyle w:val="List2"/>
        <w:pBdr/>
        <w:spacing/>
        <w:rPr/>
      </w:pPr>
      <w:r>
        <w:rPr/>
        <w:t xml:space="preserve">A.</w:t>
      </w:r>
      <w:r>
        <w:rPr/>
        <w:tab/>
        <w:t xml:space="preserve"/>
      </w:r>
      <w:r>
        <w:rPr/>
        <w:t xml:space="preserve">Agricultural uses specified in </w:t>
      </w:r>
      <w:r>
        <w:rPr/>
        <w:t xml:space="preserve">section 4-77</w:t>
      </w:r>
      <w:r>
        <w:rPr/>
        <w:t xml:space="preserve"> (a) and (c) </w:t>
      </w:r>
    </w:p>
    <w:p>
      <w:pPr>
        <w:pStyle w:val="List2"/>
        <w:pBdr/>
        <w:spacing/>
        <w:rPr/>
      </w:pPr>
      <w:r>
        <w:rPr/>
        <w:t xml:space="preserve">B.</w:t>
      </w:r>
      <w:r>
        <w:rPr/>
        <w:tab/>
        <w:t xml:space="preserve"/>
      </w:r>
      <w:r>
        <w:rPr/>
        <w:t xml:space="preserve">Contractor, construction, or equipment yard </w:t>
      </w:r>
    </w:p>
    <w:p>
      <w:pPr>
        <w:pStyle w:val="List2"/>
        <w:pBdr/>
        <w:spacing/>
        <w:rPr/>
      </w:pPr>
      <w:r>
        <w:rPr/>
        <w:t xml:space="preserve">C.</w:t>
      </w:r>
      <w:r>
        <w:rPr/>
        <w:tab/>
        <w:t xml:space="preserve"/>
      </w:r>
      <w:r>
        <w:rPr/>
        <w:t xml:space="preserve">Manufacturing and Fabrication </w:t>
      </w:r>
    </w:p>
    <w:p>
      <w:pPr>
        <w:pStyle w:val="List2"/>
        <w:pBdr/>
        <w:spacing/>
        <w:rPr/>
      </w:pPr>
      <w:r>
        <w:rPr/>
        <w:t xml:space="preserve">D.</w:t>
      </w:r>
      <w:r>
        <w:rPr/>
        <w:tab/>
        <w:t xml:space="preserve"/>
      </w:r>
      <w:r>
        <w:rPr/>
        <w:t xml:space="preserve">Off-site advertising signs </w:t>
      </w:r>
    </w:p>
    <w:p>
      <w:pPr>
        <w:pStyle w:val="List2"/>
        <w:pBdr/>
        <w:spacing/>
        <w:rPr/>
      </w:pPr>
      <w:r>
        <w:rPr/>
        <w:t xml:space="preserve">E.</w:t>
      </w:r>
      <w:r>
        <w:rPr/>
        <w:tab/>
        <w:t xml:space="preserve"/>
      </w:r>
      <w:r>
        <w:rPr/>
        <w:t xml:space="preserve">Outdoor storage (principal or accessory use) </w:t>
      </w:r>
    </w:p>
    <w:p>
      <w:pPr>
        <w:pStyle w:val="List2"/>
        <w:pBdr/>
        <w:spacing/>
        <w:rPr/>
      </w:pPr>
      <w:r>
        <w:rPr/>
        <w:t xml:space="preserve">F.</w:t>
      </w:r>
      <w:r>
        <w:rPr/>
        <w:tab/>
        <w:t xml:space="preserve"/>
      </w:r>
      <w:r>
        <w:rPr/>
        <w:t xml:space="preserve">Salvage/Junkyards/Recycling </w:t>
      </w:r>
    </w:p>
    <w:p>
      <w:pPr>
        <w:pStyle w:val="List2"/>
        <w:pBdr/>
        <w:spacing/>
        <w:rPr/>
      </w:pPr>
      <w:r>
        <w:rPr/>
        <w:t xml:space="preserve">G.</w:t>
      </w:r>
      <w:r>
        <w:rPr/>
        <w:tab/>
        <w:t xml:space="preserve"/>
      </w:r>
      <w:r>
        <w:rPr/>
        <w:t xml:space="preserve">Sanitary land fill </w:t>
      </w:r>
    </w:p>
    <w:p>
      <w:pPr>
        <w:pStyle w:val="List2"/>
        <w:pBdr/>
        <w:spacing/>
        <w:rPr/>
      </w:pPr>
      <w:r>
        <w:rPr/>
        <w:t xml:space="preserve">H.</w:t>
      </w:r>
      <w:r>
        <w:rPr/>
        <w:tab/>
        <w:t xml:space="preserve"/>
      </w:r>
      <w:r>
        <w:rPr/>
        <w:t xml:space="preserve">Toxic waste site </w:t>
      </w:r>
    </w:p>
    <w:p>
      <w:pPr>
        <w:pStyle w:val="List2"/>
        <w:pBdr/>
        <w:spacing/>
        <w:rPr/>
      </w:pPr>
      <w:r>
        <w:rPr/>
        <w:t xml:space="preserve">I.</w:t>
      </w:r>
      <w:r>
        <w:rPr/>
        <w:tab/>
        <w:t xml:space="preserve"/>
      </w:r>
      <w:r>
        <w:rPr/>
        <w:t xml:space="preserve">Wholesale warehouse, processing or storage establishments </w:t>
      </w:r>
    </w:p>
    <w:p>
      <w:pPr>
        <w:pStyle w:val="List2"/>
        <w:pBdr/>
        <w:spacing/>
        <w:rPr/>
      </w:pPr>
      <w:r>
        <w:rPr/>
        <w:t xml:space="preserve">J.</w:t>
      </w:r>
      <w:r>
        <w:rPr/>
        <w:tab/>
        <w:t xml:space="preserve"/>
      </w:r>
      <w:r>
        <w:rPr/>
        <w:t xml:space="preserve">Vehicle/Equipment Sales and Service - Mobile Homes </w:t>
      </w:r>
    </w:p>
    <w:p>
      <w:pPr>
        <w:pStyle w:val="List2"/>
        <w:pBdr/>
        <w:spacing/>
        <w:rPr/>
      </w:pPr>
      <w:r>
        <w:rPr/>
        <w:t xml:space="preserve">K.</w:t>
      </w:r>
      <w:r>
        <w:rPr/>
        <w:tab/>
        <w:t xml:space="preserve"/>
      </w:r>
      <w:r>
        <w:rPr/>
        <w:t xml:space="preserve">Uses similar in character to any of the above uses </w:t>
      </w:r>
    </w:p>
    <w:p>
      <w:pPr>
        <w:pStyle w:val="Paragraph1"/>
        <w:pBdr/>
        <w:spacing/>
        <w:rPr/>
      </w:pPr>
      <w:r>
        <w:rPr>
          <w:rStyle w:val="Paragraph1"/>
        </w:rPr>
        <w:t xml:space="preserve">4-87.4. Development Standards. </w:t>
      </w:r>
    </w:p>
    <w:p>
      <w:pPr>
        <w:pStyle w:val="List2"/>
        <w:pBdr/>
        <w:spacing/>
        <w:rPr/>
      </w:pPr>
      <w:r>
        <w:rPr/>
        <w:t xml:space="preserve">(1)</w:t>
      </w:r>
      <w:r>
        <w:rPr/>
        <w:tab/>
        <w:t xml:space="preserve"/>
      </w:r>
      <w:r>
        <w:rPr>
          <w:i/>
        </w:rPr>
        <w:t xml:space="preserve">State Road 80 Right-of-Way Buffer.</w:t>
      </w:r>
      <w:r>
        <w:rPr/>
        <w:t xml:space="preserve"> Developments on property included in the overlay must provide the following buffer in addition to the requirements for streetscape landscaping in section 4-80.10: </w:t>
      </w:r>
    </w:p>
    <w:p>
      <w:pPr>
        <w:pStyle w:val="List3"/>
        <w:pBdr/>
        <w:spacing/>
        <w:rPr/>
      </w:pPr>
      <w:r>
        <w:rPr/>
        <w:t xml:space="preserve">A.</w:t>
      </w:r>
      <w:r>
        <w:rPr/>
        <w:tab/>
        <w:t xml:space="preserve"/>
      </w:r>
      <w:r>
        <w:rPr>
          <w:i/>
        </w:rPr>
        <w:t xml:space="preserve">Standards.</w:t>
      </w:r>
      <w:r>
        <w:rPr/>
        <w:t xml:space="preserve"> A SR 80 right-of-way landscape buffer shall be a minimum of fifteen feet (15') in width with five (5) trees per one hundred (100) linear feet and shrubs to form a hedge row. Clustering of trees and plant material is encouraged to promote healthy growth of vegetation, screen parking areas from public view, and generally uphold the view corridors along SR 80. The buffer must be designed in a manner that does not block signage. </w:t>
      </w:r>
    </w:p>
    <w:p>
      <w:pPr>
        <w:pStyle w:val="List3"/>
        <w:pBdr/>
        <w:spacing/>
        <w:rPr/>
      </w:pPr>
      <w:r>
        <w:rPr/>
        <w:t xml:space="preserve">B.</w:t>
      </w:r>
      <w:r>
        <w:rPr/>
        <w:tab/>
        <w:t xml:space="preserve"/>
      </w:r>
      <w:r>
        <w:rPr>
          <w:i/>
        </w:rPr>
        <w:t xml:space="preserve">Required trees.</w:t>
      </w:r>
      <w:r>
        <w:rPr/>
        <w:t xml:space="preserve"> The required trees and palms shall be clustered in double rows with a minimum of three (3) trees per cluster. </w:t>
      </w:r>
    </w:p>
    <w:p>
      <w:pPr>
        <w:pStyle w:val="List4"/>
        <w:pBdr/>
        <w:spacing/>
        <w:rPr/>
      </w:pPr>
      <w:r>
        <w:rPr/>
        <w:t xml:space="preserve">1.</w:t>
      </w:r>
      <w:r>
        <w:rPr/>
        <w:tab/>
        <w:t xml:space="preserve"/>
      </w:r>
      <w:r>
        <w:rPr/>
        <w:t xml:space="preserve">The maximum spacing between canopy trees and/or palm clusters is fifty feet (50'). </w:t>
      </w:r>
    </w:p>
    <w:p>
      <w:pPr>
        <w:pStyle w:val="List4"/>
        <w:pBdr/>
        <w:spacing/>
        <w:rPr/>
      </w:pPr>
      <w:r>
        <w:rPr/>
        <w:t xml:space="preserve">2.</w:t>
      </w:r>
      <w:r>
        <w:rPr/>
        <w:tab/>
        <w:t xml:space="preserve"/>
      </w:r>
      <w:r>
        <w:rPr/>
        <w:t xml:space="preserve">Canopy/shade trees shall be planted a minimum of thirty feet (30') on center within a cluster. </w:t>
      </w:r>
    </w:p>
    <w:p>
      <w:pPr>
        <w:pStyle w:val="List4"/>
        <w:pBdr/>
        <w:spacing/>
        <w:rPr/>
      </w:pPr>
      <w:r>
        <w:rPr/>
        <w:t xml:space="preserve">3.</w:t>
      </w:r>
      <w:r>
        <w:rPr/>
        <w:tab/>
        <w:t xml:space="preserve"/>
      </w:r>
      <w:r>
        <w:rPr/>
        <w:t xml:space="preserve">Palms shall be planted in staggered heights, a minimum of three (3) palms per cluster, spaced at a maximum of eight feet (8') on center, with a minimum of three feet (3') in difference in height between each tree. </w:t>
      </w:r>
    </w:p>
    <w:p>
      <w:pPr>
        <w:pStyle w:val="List3"/>
        <w:pBdr/>
        <w:spacing/>
        <w:rPr/>
      </w:pPr>
      <w:r>
        <w:rPr/>
        <w:t xml:space="preserve">C.</w:t>
      </w:r>
      <w:r>
        <w:rPr/>
        <w:tab/>
        <w:t xml:space="preserve"/>
      </w:r>
      <w:r>
        <w:rPr>
          <w:i/>
        </w:rPr>
        <w:t xml:space="preserve">Height.</w:t>
      </w:r>
      <w:r>
        <w:rPr/>
        <w:t xml:space="preserve"> All canopy trees must be a minimum of twelve feet (12') in height and palms a minimum eight feet (8') at the time of installation. Shrubs must be a minimum of two feet (2') in height at time of installation. D. Required hedges. A hedge row provides a reduction in ambient light from parking and drive isles of thee uses along SR 80. The shrubs installed to form a hedge row must be planted and maintained so as to form a 36-inch high continuous visual screen within one (1) year after time of planting. </w:t>
      </w:r>
    </w:p>
    <w:p>
      <w:pPr>
        <w:pStyle w:val="List3"/>
        <w:pBdr/>
        <w:spacing/>
        <w:rPr/>
      </w:pPr>
      <w:r>
        <w:rPr/>
        <w:t xml:space="preserve">D.</w:t>
      </w:r>
      <w:r>
        <w:rPr/>
        <w:tab/>
        <w:t xml:space="preserve"/>
      </w:r>
      <w:r>
        <w:rPr>
          <w:i/>
        </w:rPr>
        <w:t xml:space="preserve">Required hedges.</w:t>
      </w:r>
      <w:r>
        <w:rPr/>
        <w:t xml:space="preserve"> A hedge row provides a reduction in ambient light from parking and drive isles of thee uses along SR 80. The shrubs installed to form a hedge row must be planted and maintained so as to form a 36-inch high continuous visual screen within one (1) year after time of planting. </w:t>
      </w:r>
    </w:p>
    <w:p>
      <w:pPr>
        <w:pStyle w:val="List3"/>
        <w:pBdr/>
        <w:spacing/>
        <w:rPr/>
      </w:pPr>
      <w:r>
        <w:rPr/>
        <w:t xml:space="preserve">E.</w:t>
      </w:r>
      <w:r>
        <w:rPr/>
        <w:tab/>
        <w:t xml:space="preserve"/>
      </w:r>
      <w:r>
        <w:rPr>
          <w:i/>
        </w:rPr>
        <w:t xml:space="preserve">Pedestrian access.</w:t>
      </w:r>
      <w:r>
        <w:rPr/>
        <w:t xml:space="preserve"> The buffer must be designed in a manner that facilitates pedestrian access to the development. Where perimeter fences and walls are incorporated into the perimeter buffer design of the site, the pedestrian access point(s) must be visible from the adjacent rights-of-way. </w:t>
      </w:r>
    </w:p>
    <w:p>
      <w:pPr>
        <w:pStyle w:val="List3"/>
        <w:pBdr/>
        <w:spacing/>
        <w:rPr/>
      </w:pPr>
      <w:r>
        <w:rPr/>
        <w:t xml:space="preserve">F.</w:t>
      </w:r>
      <w:r>
        <w:rPr/>
        <w:tab/>
        <w:t xml:space="preserve"/>
      </w:r>
      <w:r>
        <w:rPr>
          <w:i/>
        </w:rPr>
        <w:t xml:space="preserve">Building location.</w:t>
      </w:r>
      <w:r>
        <w:rPr/>
        <w:t xml:space="preserve"> Where buildings are located a maximum of twenty-five feet (25') from the SR 80 right-of-way line an alternative buffer may be permitted through submitting a landscape betterment plan. </w:t>
      </w:r>
    </w:p>
    <w:p>
      <w:pPr>
        <w:pStyle w:val="List2"/>
        <w:pBdr/>
        <w:spacing/>
        <w:rPr/>
      </w:pPr>
      <w:r>
        <w:rPr/>
        <w:t xml:space="preserve">(2)</w:t>
      </w:r>
      <w:r>
        <w:rPr/>
        <w:tab/>
        <w:t xml:space="preserve"/>
      </w:r>
      <w:r>
        <w:rPr>
          <w:i/>
        </w:rPr>
        <w:t xml:space="preserve">Off-street parking screening.</w:t>
      </w:r>
      <w:r>
        <w:rPr/>
        <w:t xml:space="preserve"> An enhanced right-of-way buffer will be required where off-street parking areas abut SR 80 and exceed one (1) double row of parking. The buffer shall meet the minimum requirements of this subsection and section 40-80.10 with the following changes along the entire length of the landscape buffer: </w:t>
      </w:r>
    </w:p>
    <w:p>
      <w:pPr>
        <w:pStyle w:val="List3"/>
        <w:pBdr/>
        <w:spacing/>
        <w:rPr/>
      </w:pPr>
      <w:r>
        <w:rPr/>
        <w:t xml:space="preserve">A.</w:t>
      </w:r>
      <w:r>
        <w:rPr/>
        <w:tab/>
        <w:t xml:space="preserve"/>
      </w:r>
      <w:r>
        <w:rPr/>
        <w:t xml:space="preserve">The buffer width increases to twenty-five feet (25') in width. </w:t>
      </w:r>
    </w:p>
    <w:p>
      <w:pPr>
        <w:pStyle w:val="List3"/>
        <w:pBdr/>
        <w:spacing/>
        <w:rPr/>
      </w:pPr>
      <w:r>
        <w:rPr/>
        <w:t xml:space="preserve">B.</w:t>
      </w:r>
      <w:r>
        <w:rPr/>
        <w:tab/>
        <w:t xml:space="preserve"/>
      </w:r>
      <w:r>
        <w:rPr/>
        <w:t xml:space="preserve">The tree requirements shall be increased to six (6) trees per one hundred lineal feet (100'). </w:t>
      </w:r>
    </w:p>
    <w:p>
      <w:pPr>
        <w:pStyle w:val="List3"/>
        <w:pBdr/>
        <w:spacing/>
        <w:rPr/>
      </w:pPr>
      <w:r>
        <w:rPr/>
        <w:t xml:space="preserve">C.</w:t>
      </w:r>
      <w:r>
        <w:rPr/>
        <w:tab/>
        <w:t xml:space="preserve"/>
      </w:r>
      <w:r>
        <w:rPr/>
        <w:t xml:space="preserve">The hedge row becomes a double staggered row. </w:t>
      </w:r>
    </w:p>
    <w:p>
      <w:pPr>
        <w:pStyle w:val="List3"/>
        <w:pBdr/>
        <w:spacing/>
        <w:rPr/>
      </w:pPr>
      <w:r>
        <w:rPr/>
        <w:t xml:space="preserve">D.</w:t>
      </w:r>
      <w:r>
        <w:rPr/>
        <w:tab/>
        <w:t xml:space="preserve"/>
      </w:r>
      <w:r>
        <w:rPr/>
        <w:t xml:space="preserve">Additionally, an undulating berm with a maximum slope of 3:1 a minimum average height of two feet (2') shall be constructed. </w:t>
      </w:r>
    </w:p>
    <w:p>
      <w:pPr>
        <w:pStyle w:val="Paragraph1"/>
        <w:pBdr/>
        <w:spacing/>
        <w:rPr/>
      </w:pPr>
      <w:r>
        <w:rPr>
          <w:rStyle w:val="Paragraph1"/>
        </w:rPr>
        <w:t xml:space="preserve">4-87.5. </w:t>
      </w:r>
      <w:r>
        <w:rPr>
          <w:i/>
        </w:rPr>
        <w:t xml:space="preserve">Parking and circulation.</w:t>
      </w:r>
    </w:p>
    <w:p>
      <w:pPr>
        <w:pStyle w:val="List2"/>
        <w:pBdr/>
        <w:spacing/>
        <w:rPr/>
      </w:pPr>
      <w:r>
        <w:rPr/>
        <w:t xml:space="preserve">(1)</w:t>
      </w:r>
      <w:r>
        <w:rPr/>
        <w:tab/>
        <w:t xml:space="preserve"/>
      </w:r>
      <w:r>
        <w:rPr>
          <w:i/>
        </w:rPr>
        <w:t xml:space="preserve">Vehicular interconnections required.</w:t>
      </w:r>
      <w:r>
        <w:rPr/>
        <w:t xml:space="preserve"> Developments are required to provide vehicular, interconnections to the adjacent property, regardless of existing or proposed land use, unless one of the following criteria are met: </w:t>
      </w:r>
    </w:p>
    <w:p>
      <w:pPr>
        <w:pStyle w:val="List3"/>
        <w:pBdr/>
        <w:spacing/>
        <w:rPr/>
      </w:pPr>
      <w:r>
        <w:rPr/>
        <w:t xml:space="preserve">A.</w:t>
      </w:r>
      <w:r>
        <w:rPr/>
        <w:tab/>
        <w:t xml:space="preserve"/>
      </w:r>
      <w:r>
        <w:rPr/>
        <w:t xml:space="preserve">It is not physically possible to provide the interconnection. </w:t>
      </w:r>
    </w:p>
    <w:p>
      <w:pPr>
        <w:pStyle w:val="List3"/>
        <w:pBdr/>
        <w:spacing/>
        <w:rPr/>
      </w:pPr>
      <w:r>
        <w:rPr/>
        <w:t xml:space="preserve">B.</w:t>
      </w:r>
      <w:r>
        <w:rPr/>
        <w:tab/>
        <w:t xml:space="preserve"/>
      </w:r>
      <w:r>
        <w:rPr/>
        <w:t xml:space="preserve">The cost associated with the shared access or interconnection is unreasonable. For this application unreasonable will be considered when the cost exceeds the cost of a typical local road section or is above ten (10) percent of the value of the improvements being made to the development. </w:t>
      </w:r>
    </w:p>
    <w:p>
      <w:pPr>
        <w:pStyle w:val="List3"/>
        <w:pBdr/>
        <w:spacing/>
        <w:rPr/>
      </w:pPr>
      <w:r>
        <w:rPr/>
        <w:t xml:space="preserve">C.</w:t>
      </w:r>
      <w:r>
        <w:rPr/>
        <w:tab/>
        <w:t xml:space="preserve"/>
      </w:r>
      <w:r>
        <w:rPr/>
        <w:t xml:space="preserve">The location of environmentally sensitive lands, either on-site or off-site precludes it and mitigation is not possible. </w:t>
      </w:r>
    </w:p>
    <w:p>
      <w:pPr>
        <w:pStyle w:val="List3"/>
        <w:pBdr/>
        <w:spacing/>
        <w:rPr/>
      </w:pPr>
      <w:r>
        <w:rPr/>
        <w:t xml:space="preserve">D.</w:t>
      </w:r>
      <w:r>
        <w:rPr/>
        <w:tab/>
        <w:t xml:space="preserve"/>
      </w:r>
      <w:r>
        <w:rPr/>
        <w:t xml:space="preserve">The abutting use is found to be incompatible with the existing or proposed use. </w:t>
      </w:r>
    </w:p>
    <w:p>
      <w:pPr>
        <w:pStyle w:val="List3"/>
        <w:pBdr/>
        <w:spacing/>
        <w:rPr/>
      </w:pPr>
      <w:r>
        <w:rPr/>
        <w:t xml:space="preserve">E.</w:t>
      </w:r>
      <w:r>
        <w:rPr/>
        <w:tab/>
        <w:t xml:space="preserve"/>
      </w:r>
      <w:r>
        <w:rPr/>
        <w:t xml:space="preserve">All developments required to provide interconnections to existing and future developments must dedicate sufficient right-of-way or easement for all required roads, sidewalks, and bike lanes. Bike lane and sidewalk interconnections must be constructed concurrently with the required vehicular interconnection. </w:t>
      </w:r>
    </w:p>
    <w:p>
      <w:pPr>
        <w:pStyle w:val="List2"/>
        <w:pBdr/>
        <w:spacing/>
        <w:rPr/>
      </w:pPr>
      <w:r>
        <w:rPr/>
        <w:t xml:space="preserve">(2)</w:t>
      </w:r>
      <w:r>
        <w:rPr/>
        <w:tab/>
        <w:t xml:space="preserve"/>
      </w:r>
      <w:r>
        <w:rPr>
          <w:i/>
        </w:rPr>
        <w:t xml:space="preserve">Pedestrian interconnections required.</w:t>
      </w:r>
      <w:r>
        <w:rPr/>
        <w:t xml:space="preserve"> Sidewalks and crosswalks must be provided to separate pedestrians from vehicular traffic both internal and external to the site. Pedestrians will only share pavement with vehicular traffic in marked crosswalks. </w:t>
      </w:r>
    </w:p>
    <w:p>
      <w:pPr>
        <w:pStyle w:val="List3"/>
        <w:pBdr/>
        <w:spacing/>
        <w:rPr/>
      </w:pPr>
      <w:r>
        <w:rPr/>
        <w:t xml:space="preserve">A.</w:t>
      </w:r>
      <w:r>
        <w:rPr/>
        <w:tab/>
        <w:t xml:space="preserve"/>
      </w:r>
      <w:r>
        <w:rPr/>
        <w:t xml:space="preserve">Sidewalks must be a minimum of five feet (5') wide. </w:t>
      </w:r>
    </w:p>
    <w:p>
      <w:pPr>
        <w:pStyle w:val="List3"/>
        <w:pBdr/>
        <w:spacing/>
        <w:rPr/>
      </w:pPr>
      <w:r>
        <w:rPr/>
        <w:t xml:space="preserve">B.</w:t>
      </w:r>
      <w:r>
        <w:rPr/>
        <w:tab/>
        <w:t xml:space="preserve"/>
      </w:r>
      <w:r>
        <w:rPr/>
        <w:t xml:space="preserve">Sidewalks and crosswalks must be provided internal to the site and connect pedestrians from parking areas to all principle building(s), including outparcels. </w:t>
      </w:r>
    </w:p>
    <w:p>
      <w:pPr>
        <w:pStyle w:val="List3"/>
        <w:pBdr/>
        <w:spacing/>
        <w:rPr/>
      </w:pPr>
      <w:r>
        <w:rPr/>
        <w:t xml:space="preserve">C.</w:t>
      </w:r>
      <w:r>
        <w:rPr/>
        <w:tab/>
        <w:t xml:space="preserve"/>
      </w:r>
      <w:r>
        <w:rPr/>
        <w:t xml:space="preserve">External sidewalk connections must be provided at a ratio of one (1) sidewalk for each vehicular entrance to a project. Drive aisles leading to main entrances must provide a sidewalk on one (1) side of the drive aisle, at a minimum. </w:t>
      </w:r>
    </w:p>
    <w:p>
      <w:pPr>
        <w:pStyle w:val="List3"/>
        <w:pBdr/>
        <w:spacing/>
        <w:rPr/>
      </w:pPr>
      <w:r>
        <w:rPr/>
        <w:t xml:space="preserve">D.</w:t>
      </w:r>
      <w:r>
        <w:rPr/>
        <w:tab/>
        <w:t xml:space="preserve"/>
      </w:r>
      <w:r>
        <w:rPr/>
        <w:t xml:space="preserve">Internal sidewalks must connect to external sidewalk infrastructure on adjacent properties. </w:t>
      </w:r>
    </w:p>
    <w:p>
      <w:pPr>
        <w:pStyle w:val="Paragraph1"/>
        <w:pBdr/>
        <w:spacing/>
        <w:rPr/>
      </w:pPr>
      <w:r>
        <w:rPr>
          <w:rStyle w:val="Paragraph1"/>
        </w:rPr>
        <w:t xml:space="preserve">4-87.6. </w:t>
      </w:r>
      <w:r>
        <w:rPr>
          <w:i/>
        </w:rPr>
        <w:t xml:space="preserve">Signage.</w:t>
      </w:r>
    </w:p>
    <w:p>
      <w:pPr>
        <w:pStyle w:val="List2"/>
        <w:pBdr/>
        <w:spacing/>
        <w:rPr/>
      </w:pPr>
      <w:r>
        <w:rPr/>
        <w:t xml:space="preserve">(1)</w:t>
      </w:r>
      <w:r>
        <w:rPr/>
        <w:tab/>
        <w:t xml:space="preserve"/>
      </w:r>
      <w:r>
        <w:rPr>
          <w:i/>
        </w:rPr>
        <w:t xml:space="preserve">Signage restrictions.</w:t>
      </w:r>
      <w:r>
        <w:rPr/>
        <w:t xml:space="preserve"> Signage for properties within the SR 80 Overlay District will be restricted as follows in addition to the criteria established in </w:t>
      </w:r>
      <w:r>
        <w:rPr/>
        <w:t xml:space="preserve">section 4-81</w:t>
      </w:r>
      <w:r>
        <w:rPr/>
        <w:t xml:space="preserve">: </w:t>
      </w:r>
    </w:p>
    <w:p>
      <w:pPr>
        <w:pStyle w:val="List3"/>
        <w:pBdr/>
        <w:spacing/>
        <w:rPr/>
      </w:pPr>
      <w:r>
        <w:rPr/>
        <w:t xml:space="preserve">A.</w:t>
      </w:r>
      <w:r>
        <w:rPr/>
        <w:tab/>
        <w:t xml:space="preserve"/>
      </w:r>
      <w:r>
        <w:rPr>
          <w:i/>
        </w:rPr>
        <w:t xml:space="preserve">Prohibition on pole signs.</w:t>
      </w:r>
      <w:r>
        <w:rPr/>
        <w:t xml:space="preserve"> To maintain and enhances the sense of place and aesthetic/visual quality of the corridor, pole signs will not be permitted. All signs must be freestanding/ground mounted or monument signs. </w:t>
      </w:r>
    </w:p>
    <w:p>
      <w:pPr>
        <w:pStyle w:val="List3"/>
        <w:pBdr/>
        <w:spacing/>
        <w:rPr/>
      </w:pPr>
      <w:r>
        <w:rPr/>
        <w:t xml:space="preserve">B.</w:t>
      </w:r>
      <w:r>
        <w:rPr/>
        <w:tab/>
        <w:t xml:space="preserve"/>
      </w:r>
      <w:r>
        <w:rPr>
          <w:i/>
        </w:rPr>
        <w:t xml:space="preserve">Height.</w:t>
      </w:r>
      <w:r>
        <w:rPr/>
        <w:t xml:space="preserve"> The maximum height of the freestanding/monument and ground mounted signs are restricted to ten feet (10'). </w:t>
      </w:r>
    </w:p>
    <w:p>
      <w:pPr>
        <w:pStyle w:val="HistoryNote"/>
        <w:pBdr/>
        <w:spacing/>
        <w:rPr/>
      </w:pPr>
      <w:r>
        <w:rPr>
          <w:rStyle w:val="HistoryNote"/>
        </w:rPr>
        <w:t xml:space="preserve">(Ord. No. 2019-03, § 2, 3-14-2019)</w:t>
      </w:r>
    </w:p>
    <w:p>
      <w:pPr>
        <w:pBdr/>
        <w:spacing w:before="0" w:after="0"/>
        <w:rPr/>
      </w:pPr>
    </w:p>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2025-02-10 07:49:14 [EST]</w:t>
    </w:r>
  </w:p>
  <w:p>
    <w:pPr>
      <w:pStyle w:val="FooterLeft"/>
      <w:pBdr/>
      <w:spacing/>
      <w:rPr/>
    </w:pPr>
    <w:r>
      <w:rPr/>
      <w:t xml:space="preserve">(Supp. No. 41)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1726D331"/>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Paragraph1" w:customStyle="1">
    <w:name w:val="Paragraph 1"/>
    <w:basedOn w:val="Normal"/>
    <w:uiPriority w:val="7"/>
    <w:qFormat/>
    <w:pPr>
      <w:pBdr/>
      <w:spacing/>
      <w:ind w:firstLine="475"/>
    </w:pPr>
    <w:rPr/>
  </w:style>
  <w:style w:type="paragraph" w:styleId="Hang1" w:customStyle="1">
    <w:name w:val="Hang 1"/>
    <w:basedOn w:val="Normal"/>
    <w:uiPriority w:val="8"/>
    <w:qFormat/>
    <w:pPr>
      <w:pBdr/>
      <w:spacing/>
      <w:ind w:left="475" w:hanging="475"/>
    </w:pPr>
    <w:rPr/>
  </w:style>
  <w:style w:type="paragraph" w:styleId="List1" w:customStyle="1">
    <w:name w:val="List 1"/>
    <w:basedOn w:val="Hang1"/>
    <w:uiPriority w:val="5"/>
    <w:qFormat/>
    <w:pPr>
      <w:pBdr/>
      <w:spacing/>
    </w:pPr>
    <w:rPr/>
  </w:style>
  <w:style w:type="paragraph" w:styleId="List2">
    <w:name w:val="List 2"/>
    <w:basedOn w:val="List1"/>
    <w:uiPriority w:val="5"/>
    <w:qFormat/>
    <w:pPr>
      <w:pBdr/>
      <w:spacing/>
      <w:ind w:left="950"/>
    </w:pPr>
    <w:rPr/>
  </w:style>
  <w:style w:type="paragraph" w:styleId="Hang2" w:customStyle="1">
    <w:name w:val="Hang 2"/>
    <w:basedOn w:val="Hang1"/>
    <w:uiPriority w:val="8"/>
    <w:unhideWhenUsed/>
    <w:qFormat/>
    <w:pPr>
      <w:pBdr/>
      <w:spacing/>
      <w:ind w:left="95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paragraph" w:styleId="Block1" w:customStyle="1">
    <w:name w:val="Block 1"/>
    <w:basedOn w:val="Normal"/>
    <w:uiPriority w:val="3"/>
    <w:qFormat/>
    <w:pPr>
      <w:pBdr/>
      <w:spacing/>
    </w:pPr>
    <w:rPr/>
  </w:style>
  <w:style w:type="paragraph" w:styleId="HistoryNote" w:customStyle="1">
    <w:name w:val="History Note"/>
    <w:basedOn w:val="Block1"/>
    <w:next w:val="Section"/>
    <w:uiPriority w:val="2"/>
    <w:qFormat/>
    <w:pPr>
      <w:pBdr/>
      <w:spacing w:after="240"/>
    </w:pPr>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ListParagraph2" w:customStyle="1">
    <w:name w:val="List Paragraph 2"/>
    <w:basedOn w:val="List1"/>
    <w:uiPriority w:val="98"/>
    <w:semiHidden/>
    <w:unhideWhenUsed/>
    <w:qFormat/>
    <w:pPr>
      <w:pBdr/>
      <w:spacing/>
      <w:ind w:left="95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822af605-78d4-458b-9f6c-4953b6f69bcd" w:customStyle="1">
    <w:name w:val="Normal Table_822af605-78d4-458b-9f6c-4953b6f69bc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822af605-78d4-458b-9f6c-4953b6f69bcd"/>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lines="1"/>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6d00139a-d68a-4dd1-9450-b98a38dfb327" w:customStyle="1">
    <w:name w:val="Normal Table_6d00139a-d68a-4dd1-9450-b98a38dfb32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NormalTable_6d00139a-d68a-4dd1-9450-b98a38dfb327"/>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1d9f88b-382c-4270-b1cc-a1099b72f669" w:customStyle="1">
    <w:name w:val="Normal Table_c1d9f88b-382c-4270-b1cc-a1099b72f66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777b1608-5747-4904-93f7-bea9d7106927" w:customStyle="1">
    <w:name w:val="Table 1_777b1608-5747-4904-93f7-bea9d7106927"/>
    <w:basedOn w:val="NormalTable_c1d9f88b-382c-4270-b1cc-a1099b72f669"/>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777b1608-5747-4904-93f7-bea9d7106927"/>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7b74541-b9e5-45e6-b4a2-6e6a24ed97aa" w:customStyle="1">
    <w:name w:val="Normal Table_c7b74541-b9e5-45e6-b4a2-6e6a24ed97a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08433dfd-c07a-4e07-aef1-1c19ed8e3b6a" w:customStyle="1">
    <w:name w:val="Table 1_08433dfd-c07a-4e07-aef1-1c19ed8e3b6a"/>
    <w:basedOn w:val="NormalTable_c7b74541-b9e5-45e6-b4a2-6e6a24ed97aa"/>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b0cc656c-0290-4672-a3e3-288f1b008447" w:customStyle="1">
    <w:name w:val="Table 2_b0cc656c-0290-4672-a3e3-288f1b008447"/>
    <w:basedOn w:val="Table1_08433dfd-c07a-4e07-aef1-1c19ed8e3b6a"/>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b0cc656c-0290-4672-a3e3-288f1b00844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57ee4e26-6d13-486c-b592-1ef88db07a0d" w:customStyle="1">
    <w:name w:val="Normal Table_57ee4e26-6d13-486c-b592-1ef88db07a0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0da47687-4775-4c98-abf6-deb32d5057f8" w:customStyle="1">
    <w:name w:val="Table 1_0da47687-4775-4c98-abf6-deb32d5057f8"/>
    <w:basedOn w:val="NormalTable_57ee4e26-6d13-486c-b592-1ef88db07a0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53fb3e6a-00ff-4ae4-aa48-5d08a023b3b8" w:customStyle="1">
    <w:name w:val="Table 2_53fb3e6a-00ff-4ae4-aa48-5d08a023b3b8"/>
    <w:basedOn w:val="Table1_0da47687-4775-4c98-abf6-deb32d5057f8"/>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8cb80f93-879e-45fc-9030-6604c1c58aa3" w:customStyle="1">
    <w:name w:val="Table 3_8cb80f93-879e-45fc-9030-6604c1c58aa3"/>
    <w:basedOn w:val="Table2_53fb3e6a-00ff-4ae4-aa48-5d08a023b3b8"/>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8cb80f93-879e-45fc-9030-6604c1c58aa3"/>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039d35cf-97bd-474c-9deb-81bdd76681c8" w:customStyle="1">
    <w:name w:val="Normal Table_039d35cf-97bd-474c-9deb-81bdd76681c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50d9cd46-1670-4933-9134-65dfefe2f14c" w:customStyle="1">
    <w:name w:val="Table 1_50d9cd46-1670-4933-9134-65dfefe2f14c"/>
    <w:basedOn w:val="NormalTable_039d35cf-97bd-474c-9deb-81bdd76681c8"/>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25c41fa4-7d73-4f4a-86fc-48e742a1cd9e" w:customStyle="1">
    <w:name w:val="Table 2_25c41fa4-7d73-4f4a-86fc-48e742a1cd9e"/>
    <w:basedOn w:val="Table1_50d9cd46-1670-4933-9134-65dfefe2f14c"/>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b5c1abd8-c315-45a3-96e4-8e2ec8f57969" w:customStyle="1">
    <w:name w:val="Table 3_b5c1abd8-c315-45a3-96e4-8e2ec8f57969"/>
    <w:basedOn w:val="Table2_25c41fa4-7d73-4f4a-86fc-48e742a1cd9e"/>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057a5ccf-d320-4820-870e-d647ad574555" w:customStyle="1">
    <w:name w:val="Table 4_057a5ccf-d320-4820-870e-d647ad574555"/>
    <w:basedOn w:val="Table3_b5c1abd8-c315-45a3-96e4-8e2ec8f57969"/>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057a5ccf-d320-4820-870e-d647ad574555"/>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0a614c3d-400e-44cd-a49d-fd4de91e6878" w:customStyle="1">
    <w:name w:val="Normal Table_0a614c3d-400e-44cd-a49d-fd4de91e687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40ee6cd-b1de-4015-bec1-2fef23ba1703" w:customStyle="1">
    <w:name w:val="Table 1_f40ee6cd-b1de-4015-bec1-2fef23ba1703"/>
    <w:basedOn w:val="NormalTable_0a614c3d-400e-44cd-a49d-fd4de91e6878"/>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4c4b568f-f2f8-4db1-b6d0-5138620ab88c" w:customStyle="1">
    <w:name w:val="Table 2_4c4b568f-f2f8-4db1-b6d0-5138620ab88c"/>
    <w:basedOn w:val="Table1_f40ee6cd-b1de-4015-bec1-2fef23ba1703"/>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3f7cff98-e595-4a98-89bf-54b360dbc82a" w:customStyle="1">
    <w:name w:val="Table 3_3f7cff98-e595-4a98-89bf-54b360dbc82a"/>
    <w:basedOn w:val="Table2_4c4b568f-f2f8-4db1-b6d0-5138620ab88c"/>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18b7d08d-4a9e-4a8d-b985-a1497c0ba380" w:customStyle="1">
    <w:name w:val="Table 4_18b7d08d-4a9e-4a8d-b985-a1497c0ba380"/>
    <w:basedOn w:val="Table3_3f7cff98-e595-4a98-89bf-54b360dbc82a"/>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a646bba8-dfcc-4c9f-ba8b-e85339313b51" w:customStyle="1">
    <w:name w:val="Table 5_a646bba8-dfcc-4c9f-ba8b-e85339313b51"/>
    <w:basedOn w:val="Table4_18b7d08d-4a9e-4a8d-b985-a1497c0ba380"/>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a646bba8-dfcc-4c9f-ba8b-e85339313b51"/>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d4733a53-2e7d-4633-ade5-a5bb96ea5134" w:customStyle="1">
    <w:name w:val="Normal Table_d4733a53-2e7d-4633-ade5-a5bb96ea513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77b2d85f-d5e4-43f9-98f2-8fc8b82378a4" w:customStyle="1">
    <w:name w:val="Table 1_77b2d85f-d5e4-43f9-98f2-8fc8b82378a4"/>
    <w:basedOn w:val="NormalTable_d4733a53-2e7d-4633-ade5-a5bb96ea5134"/>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363ba0cf-24e5-4bee-8e49-8539ad80c8ec" w:customStyle="1">
    <w:name w:val="Table 2_363ba0cf-24e5-4bee-8e49-8539ad80c8ec"/>
    <w:basedOn w:val="Table1_77b2d85f-d5e4-43f9-98f2-8fc8b82378a4"/>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f5bc8906-b91b-4707-b56c-d14ff9b52e37" w:customStyle="1">
    <w:name w:val="Table 3_f5bc8906-b91b-4707-b56c-d14ff9b52e37"/>
    <w:basedOn w:val="Table2_363ba0cf-24e5-4bee-8e49-8539ad80c8ec"/>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54f35822-f780-4a4e-8079-c2f8b5f07b78" w:customStyle="1">
    <w:name w:val="Table 4_54f35822-f780-4a4e-8079-c2f8b5f07b78"/>
    <w:basedOn w:val="Table3_f5bc8906-b91b-4707-b56c-d14ff9b52e37"/>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ba961921-8122-48f3-af3d-e60c89152a37" w:customStyle="1">
    <w:name w:val="Table 5_ba961921-8122-48f3-af3d-e60c89152a37"/>
    <w:basedOn w:val="Table4_54f35822-f780-4a4e-8079-c2f8b5f07b78"/>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8831ba55-e1f2-4f07-8f8b-5ba97f5cdf8e" w:customStyle="1">
    <w:name w:val="Table 6_8831ba55-e1f2-4f07-8f8b-5ba97f5cdf8e"/>
    <w:basedOn w:val="Table5_ba961921-8122-48f3-af3d-e60c89152a37"/>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8831ba55-e1f2-4f07-8f8b-5ba97f5cdf8e"/>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13b99808-59a2-4a9a-add8-4a1620f4097e" w:customStyle="1">
    <w:name w:val="Normal Table_13b99808-59a2-4a9a-add8-4a1620f4097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62bb88d-991c-4ae2-aa72-8b09825ece2c" w:customStyle="1">
    <w:name w:val="Table 1_962bb88d-991c-4ae2-aa72-8b09825ece2c"/>
    <w:basedOn w:val="NormalTable_13b99808-59a2-4a9a-add8-4a1620f4097e"/>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7309ab48-9d83-43a0-b21a-95d64f7b5fcd" w:customStyle="1">
    <w:name w:val="Table 2_7309ab48-9d83-43a0-b21a-95d64f7b5fcd"/>
    <w:basedOn w:val="Table1_962bb88d-991c-4ae2-aa72-8b09825ece2c"/>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27fe0159-3654-43d2-ae72-0495b50da1b3" w:customStyle="1">
    <w:name w:val="Table 3_27fe0159-3654-43d2-ae72-0495b50da1b3"/>
    <w:basedOn w:val="Table2_7309ab48-9d83-43a0-b21a-95d64f7b5fcd"/>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4ff9fae4-8252-442b-92ba-493537dfbaa1" w:customStyle="1">
    <w:name w:val="Table 4_4ff9fae4-8252-442b-92ba-493537dfbaa1"/>
    <w:basedOn w:val="Table3_27fe0159-3654-43d2-ae72-0495b50da1b3"/>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d979c7f8-380e-4dd1-901e-c4ab1be788ba" w:customStyle="1">
    <w:name w:val="Table 5_d979c7f8-380e-4dd1-901e-c4ab1be788ba"/>
    <w:basedOn w:val="Table4_4ff9fae4-8252-442b-92ba-493537dfbaa1"/>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025dc245-0a75-4b08-91ac-be7733bfc0db" w:customStyle="1">
    <w:name w:val="Table 6_025dc245-0a75-4b08-91ac-be7733bfc0db"/>
    <w:basedOn w:val="Table5_d979c7f8-380e-4dd1-901e-c4ab1be788ba"/>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50ed7d6f-60c2-4acf-b8d8-c8bef196e2ec" w:customStyle="1">
    <w:name w:val="Table 7_50ed7d6f-60c2-4acf-b8d8-c8bef196e2ec"/>
    <w:basedOn w:val="Table6_025dc245-0a75-4b08-91ac-be7733bfc0db"/>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50ed7d6f-60c2-4acf-b8d8-c8bef196e2ec"/>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4e09ae8b-3735-43cd-acc5-7263d085e1f9" w:customStyle="1">
    <w:name w:val="Normal Table_4e09ae8b-3735-43cd-acc5-7263d085e1f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ec320459-3e69-466e-aae7-00472b8d35ca" w:customStyle="1">
    <w:name w:val="Table 1_ec320459-3e69-466e-aae7-00472b8d35ca"/>
    <w:basedOn w:val="NormalTable_4e09ae8b-3735-43cd-acc5-7263d085e1f9"/>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eef206d1-c9a9-4525-86b4-ea7321f7f1e3" w:customStyle="1">
    <w:name w:val="Table 2_eef206d1-c9a9-4525-86b4-ea7321f7f1e3"/>
    <w:basedOn w:val="Table1_ec320459-3e69-466e-aae7-00472b8d35ca"/>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936b0512-dfdc-4684-9952-059897a65abd" w:customStyle="1">
    <w:name w:val="Table 3_936b0512-dfdc-4684-9952-059897a65abd"/>
    <w:basedOn w:val="Table2_eef206d1-c9a9-4525-86b4-ea7321f7f1e3"/>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ba5da328-8268-44d7-b55b-2dbfb6ff3cb6" w:customStyle="1">
    <w:name w:val="Table 4_ba5da328-8268-44d7-b55b-2dbfb6ff3cb6"/>
    <w:basedOn w:val="Table3_936b0512-dfdc-4684-9952-059897a65abd"/>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f44a93e5-26f3-4bc2-89db-d66a9bc2d08c" w:customStyle="1">
    <w:name w:val="Table 5_f44a93e5-26f3-4bc2-89db-d66a9bc2d08c"/>
    <w:basedOn w:val="Table4_ba5da328-8268-44d7-b55b-2dbfb6ff3cb6"/>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04a5eac2-2c82-439f-81fc-150a31fea155" w:customStyle="1">
    <w:name w:val="Table 6_04a5eac2-2c82-439f-81fc-150a31fea155"/>
    <w:basedOn w:val="Table5_f44a93e5-26f3-4bc2-89db-d66a9bc2d08c"/>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60ab619f-dff0-43bb-bafe-8d6c25dcb8f8" w:customStyle="1">
    <w:name w:val="Table 7_60ab619f-dff0-43bb-bafe-8d6c25dcb8f8"/>
    <w:basedOn w:val="Table6_04a5eac2-2c82-439f-81fc-150a31fea155"/>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44ca7488-5816-4a7b-a24f-1dfc35f36414" w:customStyle="1">
    <w:name w:val="Table 8_44ca7488-5816-4a7b-a24f-1dfc35f36414"/>
    <w:basedOn w:val="Table7_60ab619f-dff0-43bb-bafe-8d6c25dcb8f8"/>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44ca7488-5816-4a7b-a24f-1dfc35f36414"/>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3e8a413-684b-4ad0-919d-75b02bb775ad" w:customStyle="1">
    <w:name w:val="Normal Table_d3e8a413-684b-4ad0-919d-75b02bb775a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d3e8a413-684b-4ad0-919d-75b02bb775a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fa72853c-8f70-4e1d-981a-8133f5ebe341" w:customStyle="1">
    <w:name w:val="Normal Table_fa72853c-8f70-4e1d-981a-8133f5ebe34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d396f868-4e33-4242-b74c-c2aa9955ecb8" w:customStyle="1">
    <w:name w:val="Table NoRule 1_d396f868-4e33-4242-b74c-c2aa9955ecb8"/>
    <w:basedOn w:val="NormalTable_fa72853c-8f70-4e1d-981a-8133f5ebe341"/>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d396f868-4e33-4242-b74c-c2aa9955ecb8"/>
    <w:uiPriority w:val="99"/>
    <w:pPr>
      <w:pBdr/>
      <w:spacing/>
    </w:pPr>
    <w:rPr/>
    <w:tblPr>
      <w:tblInd w:w="475" w:type="dxa"/>
      <w:tblBorders/>
      <w:tblCellMar/>
    </w:tblPr>
    <w:trPr/>
    <w:tcPr>
      <w:tcBorders/>
      <w:shd w:val="clear" w:color="auto" w:fill="auto"/>
      <w:tcMar/>
      <w:vAlign w:val="top"/>
    </w:tcPr>
  </w:style>
  <w:style w:type="table" w:styleId="NormalTable_821e3dcf-4b22-4ab4-a9f7-94c525d25eb7" w:customStyle="1">
    <w:name w:val="Normal Table_821e3dcf-4b22-4ab4-a9f7-94c525d25eb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778e9d47-05da-472c-b9c5-90cc820bbc6f" w:customStyle="1">
    <w:name w:val="Table NoRule 1_778e9d47-05da-472c-b9c5-90cc820bbc6f"/>
    <w:basedOn w:val="NormalTable_821e3dcf-4b22-4ab4-a9f7-94c525d25eb7"/>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052845c3-4ad8-4196-91bf-66361565a65e" w:customStyle="1">
    <w:name w:val="Table NoRule 2_052845c3-4ad8-4196-91bf-66361565a65e"/>
    <w:basedOn w:val="TableNoRule1_778e9d47-05da-472c-b9c5-90cc820bbc6f"/>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052845c3-4ad8-4196-91bf-66361565a65e"/>
    <w:uiPriority w:val="99"/>
    <w:pPr>
      <w:pBdr/>
      <w:spacing/>
    </w:pPr>
    <w:rPr/>
    <w:tblPr>
      <w:tblInd w:w="950" w:type="dxa"/>
      <w:tblBorders/>
      <w:tblCellMar/>
    </w:tblPr>
    <w:trPr/>
    <w:tcPr>
      <w:tcBorders/>
      <w:shd w:val="clear" w:color="auto" w:fill="auto"/>
      <w:tcMar/>
      <w:vAlign w:val="top"/>
    </w:tcPr>
  </w:style>
  <w:style w:type="table" w:styleId="NormalTable_f7488fcb-d0cc-45cf-851a-079046863431" w:customStyle="1">
    <w:name w:val="Normal Table_f7488fcb-d0cc-45cf-851a-07904686343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039149f2-b48c-4194-812d-82a487ad0d97" w:customStyle="1">
    <w:name w:val="Table NoRule 1_039149f2-b48c-4194-812d-82a487ad0d97"/>
    <w:basedOn w:val="NormalTable_f7488fcb-d0cc-45cf-851a-079046863431"/>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fce80187-3f3e-429b-a452-ce96de5c5adf" w:customStyle="1">
    <w:name w:val="Table NoRule 2_fce80187-3f3e-429b-a452-ce96de5c5adf"/>
    <w:basedOn w:val="TableNoRule1_039149f2-b48c-4194-812d-82a487ad0d97"/>
    <w:uiPriority w:val="99"/>
    <w:pPr>
      <w:pBdr/>
      <w:spacing/>
    </w:pPr>
    <w:rPr/>
    <w:tblPr>
      <w:tblInd w:w="475" w:type="dxa"/>
      <w:tblBorders/>
      <w:tblCellMar/>
    </w:tblPr>
    <w:trPr/>
    <w:tcPr>
      <w:tcBorders/>
      <w:shd w:val="clear" w:color="auto" w:fill="auto"/>
      <w:tcMar/>
      <w:vAlign w:val="top"/>
    </w:tcPr>
  </w:style>
  <w:style w:type="table" w:styleId="TableNoRule3_300c0ae8-4ec0-4175-9cf2-bb6ae954497f" w:customStyle="1">
    <w:name w:val="Table NoRule 3_300c0ae8-4ec0-4175-9cf2-bb6ae954497f"/>
    <w:basedOn w:val="TableNoRule2_fce80187-3f3e-429b-a452-ce96de5c5adf"/>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300c0ae8-4ec0-4175-9cf2-bb6ae954497f"/>
    <w:uiPriority w:val="99"/>
    <w:pPr>
      <w:pBdr/>
      <w:spacing/>
    </w:pPr>
    <w:rPr/>
    <w:tblPr>
      <w:tblInd w:w="1440" w:type="dxa"/>
      <w:tblBorders/>
      <w:tblCellMar/>
    </w:tblPr>
    <w:trPr/>
    <w:tcPr>
      <w:tcBorders/>
      <w:shd w:val="clear" w:color="auto" w:fill="auto"/>
      <w:tcMar/>
      <w:vAlign w:val="top"/>
    </w:tcPr>
  </w:style>
  <w:style w:type="table" w:styleId="NormalTable_5da1a315-18bb-4735-977c-d7d25438eab9" w:customStyle="1">
    <w:name w:val="Normal Table_5da1a315-18bb-4735-977c-d7d25438eab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78288107-9068-4dc1-be11-71ce14a4aa25" w:customStyle="1">
    <w:name w:val="Table NoRule 1_78288107-9068-4dc1-be11-71ce14a4aa25"/>
    <w:basedOn w:val="NormalTable_5da1a315-18bb-4735-977c-d7d25438eab9"/>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1696ddf6-8b63-47fc-964e-77e2b1373ae7" w:customStyle="1">
    <w:name w:val="Table NoRule 2_1696ddf6-8b63-47fc-964e-77e2b1373ae7"/>
    <w:basedOn w:val="TableNoRule1_78288107-9068-4dc1-be11-71ce14a4aa25"/>
    <w:uiPriority w:val="99"/>
    <w:pPr>
      <w:pBdr/>
      <w:spacing/>
    </w:pPr>
    <w:rPr/>
    <w:tblPr>
      <w:tblInd w:w="475" w:type="dxa"/>
      <w:tblBorders/>
      <w:tblCellMar/>
    </w:tblPr>
    <w:trPr/>
    <w:tcPr>
      <w:tcBorders/>
      <w:shd w:val="clear" w:color="auto" w:fill="auto"/>
      <w:tcMar/>
      <w:vAlign w:val="top"/>
    </w:tcPr>
  </w:style>
  <w:style w:type="table" w:styleId="TableNoRule3_390740cd-eca4-4ae8-ac2a-84f9a2f3804b" w:customStyle="1">
    <w:name w:val="Table NoRule 3_390740cd-eca4-4ae8-ac2a-84f9a2f3804b"/>
    <w:basedOn w:val="TableNoRule2_1696ddf6-8b63-47fc-964e-77e2b1373ae7"/>
    <w:uiPriority w:val="99"/>
    <w:pPr>
      <w:pBdr/>
      <w:spacing/>
    </w:pPr>
    <w:rPr/>
    <w:tblPr>
      <w:tblInd w:w="950" w:type="dxa"/>
      <w:tblBorders/>
      <w:tblCellMar/>
    </w:tblPr>
    <w:trPr/>
    <w:tcPr>
      <w:tcBorders/>
      <w:shd w:val="clear" w:color="auto" w:fill="auto"/>
      <w:tcMar/>
      <w:vAlign w:val="top"/>
    </w:tcPr>
  </w:style>
  <w:style w:type="table" w:styleId="TableNoRule4_fc7f271f-61e8-48ad-b8c3-f09204c96166" w:customStyle="1">
    <w:name w:val="Table NoRule 4_fc7f271f-61e8-48ad-b8c3-f09204c96166"/>
    <w:basedOn w:val="TableNoRule3_390740cd-eca4-4ae8-ac2a-84f9a2f3804b"/>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fc7f271f-61e8-48ad-b8c3-f09204c96166"/>
    <w:uiPriority w:val="99"/>
    <w:pPr>
      <w:pBdr/>
      <w:spacing/>
    </w:pPr>
    <w:rPr/>
    <w:tblPr>
      <w:tblInd w:w="1915" w:type="dxa"/>
      <w:tblBorders/>
      <w:tblCellMar/>
    </w:tblPr>
    <w:trPr/>
    <w:tcPr>
      <w:tcBorders/>
      <w:shd w:val="clear" w:color="auto" w:fill="auto"/>
      <w:tcMar/>
      <w:vAlign w:val="top"/>
    </w:tcPr>
  </w:style>
  <w:style w:type="table" w:styleId="NormalTable_28bb3c60-06ca-4910-bccb-de5c5b408f9a" w:customStyle="1">
    <w:name w:val="Normal Table_28bb3c60-06ca-4910-bccb-de5c5b408f9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b53c2f99-7012-4db5-97ce-f6e3e6b597cf" w:customStyle="1">
    <w:name w:val="Table NoRule 1_b53c2f99-7012-4db5-97ce-f6e3e6b597cf"/>
    <w:basedOn w:val="NormalTable_28bb3c60-06ca-4910-bccb-de5c5b408f9a"/>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e588f185-1241-4eaa-bafe-85e905fa16a4" w:customStyle="1">
    <w:name w:val="Table NoRule 2_e588f185-1241-4eaa-bafe-85e905fa16a4"/>
    <w:basedOn w:val="TableNoRule1_b53c2f99-7012-4db5-97ce-f6e3e6b597cf"/>
    <w:uiPriority w:val="99"/>
    <w:pPr>
      <w:pBdr/>
      <w:spacing/>
    </w:pPr>
    <w:rPr/>
    <w:tblPr>
      <w:tblInd w:w="475" w:type="dxa"/>
      <w:tblBorders/>
      <w:tblCellMar/>
    </w:tblPr>
    <w:trPr/>
    <w:tcPr>
      <w:tcBorders/>
      <w:shd w:val="clear" w:color="auto" w:fill="auto"/>
      <w:tcMar/>
      <w:vAlign w:val="top"/>
    </w:tcPr>
  </w:style>
  <w:style w:type="table" w:styleId="TableNoRule3_b46e333d-06d2-44c4-9ad7-ee1087717146" w:customStyle="1">
    <w:name w:val="Table NoRule 3_b46e333d-06d2-44c4-9ad7-ee1087717146"/>
    <w:basedOn w:val="TableNoRule2_e588f185-1241-4eaa-bafe-85e905fa16a4"/>
    <w:uiPriority w:val="99"/>
    <w:pPr>
      <w:pBdr/>
      <w:spacing/>
    </w:pPr>
    <w:rPr/>
    <w:tblPr>
      <w:tblInd w:w="950" w:type="dxa"/>
      <w:tblBorders/>
      <w:tblCellMar/>
    </w:tblPr>
    <w:trPr/>
    <w:tcPr>
      <w:tcBorders/>
      <w:shd w:val="clear" w:color="auto" w:fill="auto"/>
      <w:tcMar/>
      <w:vAlign w:val="top"/>
    </w:tcPr>
  </w:style>
  <w:style w:type="table" w:styleId="TableNoRule4_0bddbada-eaf6-4384-a660-6792ffdf6fed" w:customStyle="1">
    <w:name w:val="Table NoRule 4_0bddbada-eaf6-4384-a660-6792ffdf6fed"/>
    <w:basedOn w:val="TableNoRule3_b46e333d-06d2-44c4-9ad7-ee1087717146"/>
    <w:uiPriority w:val="99"/>
    <w:pPr>
      <w:pBdr/>
      <w:spacing/>
    </w:pPr>
    <w:rPr/>
    <w:tblPr>
      <w:tblInd w:w="1440" w:type="dxa"/>
      <w:tblBorders/>
      <w:tblCellMar/>
    </w:tblPr>
    <w:trPr/>
    <w:tcPr>
      <w:tcBorders/>
      <w:shd w:val="clear" w:color="auto" w:fill="auto"/>
      <w:tcMar/>
      <w:vAlign w:val="top"/>
    </w:tcPr>
  </w:style>
  <w:style w:type="table" w:styleId="TableNoRule5_fa140276-bfb3-47c9-acdd-84c1512cf9f5" w:customStyle="1">
    <w:name w:val="Table NoRule 5_fa140276-bfb3-47c9-acdd-84c1512cf9f5"/>
    <w:basedOn w:val="TableNoRule4_0bddbada-eaf6-4384-a660-6792ffdf6fed"/>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fa140276-bfb3-47c9-acdd-84c1512cf9f5"/>
    <w:uiPriority w:val="99"/>
    <w:pPr>
      <w:pBdr/>
      <w:spacing/>
    </w:pPr>
    <w:rPr/>
    <w:tblPr>
      <w:tblInd w:w="2390" w:type="dxa"/>
      <w:tblBorders/>
      <w:tblCellMar/>
    </w:tblPr>
    <w:trPr/>
    <w:tcPr>
      <w:tcBorders/>
      <w:shd w:val="clear" w:color="auto" w:fill="auto"/>
      <w:tcMar/>
      <w:vAlign w:val="top"/>
    </w:tcPr>
  </w:style>
  <w:style w:type="table" w:styleId="NormalTable_97242cba-6068-42ef-9b0d-bbfbf3597a4d" w:customStyle="1">
    <w:name w:val="Normal Table_97242cba-6068-42ef-9b0d-bbfbf3597a4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b7c75379-460d-4f64-963b-443bbfef7a1f" w:customStyle="1">
    <w:name w:val="Table NoRule 1_b7c75379-460d-4f64-963b-443bbfef7a1f"/>
    <w:basedOn w:val="NormalTable_97242cba-6068-42ef-9b0d-bbfbf3597a4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5d1090ec-5a3e-4534-a5da-fb4a5f458384" w:customStyle="1">
    <w:name w:val="Table NoRule 2_5d1090ec-5a3e-4534-a5da-fb4a5f458384"/>
    <w:basedOn w:val="TableNoRule1_b7c75379-460d-4f64-963b-443bbfef7a1f"/>
    <w:uiPriority w:val="99"/>
    <w:pPr>
      <w:pBdr/>
      <w:spacing/>
    </w:pPr>
    <w:rPr/>
    <w:tblPr>
      <w:tblInd w:w="475" w:type="dxa"/>
      <w:tblBorders/>
      <w:tblCellMar/>
    </w:tblPr>
    <w:trPr/>
    <w:tcPr>
      <w:tcBorders/>
      <w:shd w:val="clear" w:color="auto" w:fill="auto"/>
      <w:tcMar/>
      <w:vAlign w:val="top"/>
    </w:tcPr>
  </w:style>
  <w:style w:type="table" w:styleId="TableNoRule3_f2b24f6c-9ea1-47c7-b78a-fa044faadb5b" w:customStyle="1">
    <w:name w:val="Table NoRule 3_f2b24f6c-9ea1-47c7-b78a-fa044faadb5b"/>
    <w:basedOn w:val="TableNoRule2_5d1090ec-5a3e-4534-a5da-fb4a5f458384"/>
    <w:uiPriority w:val="99"/>
    <w:pPr>
      <w:pBdr/>
      <w:spacing/>
    </w:pPr>
    <w:rPr/>
    <w:tblPr>
      <w:tblInd w:w="950" w:type="dxa"/>
      <w:tblBorders/>
      <w:tblCellMar/>
    </w:tblPr>
    <w:trPr/>
    <w:tcPr>
      <w:tcBorders/>
      <w:shd w:val="clear" w:color="auto" w:fill="auto"/>
      <w:tcMar/>
      <w:vAlign w:val="top"/>
    </w:tcPr>
  </w:style>
  <w:style w:type="table" w:styleId="TableNoRule4_906089b8-78c2-4679-bb83-b57e9e68af98" w:customStyle="1">
    <w:name w:val="Table NoRule 4_906089b8-78c2-4679-bb83-b57e9e68af98"/>
    <w:basedOn w:val="TableNoRule3_f2b24f6c-9ea1-47c7-b78a-fa044faadb5b"/>
    <w:uiPriority w:val="99"/>
    <w:pPr>
      <w:pBdr/>
      <w:spacing/>
    </w:pPr>
    <w:rPr/>
    <w:tblPr>
      <w:tblInd w:w="1440" w:type="dxa"/>
      <w:tblBorders/>
      <w:tblCellMar/>
    </w:tblPr>
    <w:trPr/>
    <w:tcPr>
      <w:tcBorders/>
      <w:shd w:val="clear" w:color="auto" w:fill="auto"/>
      <w:tcMar/>
      <w:vAlign w:val="top"/>
    </w:tcPr>
  </w:style>
  <w:style w:type="table" w:styleId="TableNoRule5_a7bb3822-18aa-4476-ac93-f4ad46efc8c9" w:customStyle="1">
    <w:name w:val="Table NoRule 5_a7bb3822-18aa-4476-ac93-f4ad46efc8c9"/>
    <w:basedOn w:val="TableNoRule4_906089b8-78c2-4679-bb83-b57e9e68af98"/>
    <w:uiPriority w:val="99"/>
    <w:pPr>
      <w:pBdr/>
      <w:spacing/>
    </w:pPr>
    <w:rPr/>
    <w:tblPr>
      <w:tblInd w:w="1915" w:type="dxa"/>
      <w:tblBorders/>
      <w:tblCellMar/>
    </w:tblPr>
    <w:trPr/>
    <w:tcPr>
      <w:tcBorders/>
      <w:shd w:val="clear" w:color="auto" w:fill="auto"/>
      <w:tcMar/>
      <w:vAlign w:val="top"/>
    </w:tcPr>
  </w:style>
  <w:style w:type="table" w:styleId="TableNoRule6_6f6886d0-3323-4ba4-b9a4-cfc6fcf200d4" w:customStyle="1">
    <w:name w:val="Table NoRule 6_6f6886d0-3323-4ba4-b9a4-cfc6fcf200d4"/>
    <w:basedOn w:val="TableNoRule5_a7bb3822-18aa-4476-ac93-f4ad46efc8c9"/>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6f6886d0-3323-4ba4-b9a4-cfc6fcf200d4"/>
    <w:uiPriority w:val="99"/>
    <w:pPr>
      <w:pBdr/>
      <w:spacing/>
    </w:pPr>
    <w:rPr/>
    <w:tblPr>
      <w:tblInd w:w="2880" w:type="dxa"/>
      <w:tblBorders/>
      <w:tblCellMar/>
    </w:tblPr>
    <w:trPr/>
    <w:tcPr>
      <w:tcBorders/>
      <w:shd w:val="clear" w:color="auto" w:fill="auto"/>
      <w:tcMar/>
      <w:vAlign w:val="top"/>
    </w:tcPr>
  </w:style>
  <w:style w:type="table" w:styleId="NormalTable_1b1a4f05-fe70-42cf-819c-4392d623219d" w:customStyle="1">
    <w:name w:val="Normal Table_1b1a4f05-fe70-42cf-819c-4392d623219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f6aa69d3-54de-476e-84a0-e9ad7444ab57" w:customStyle="1">
    <w:name w:val="Table NoRule 1_f6aa69d3-54de-476e-84a0-e9ad7444ab57"/>
    <w:basedOn w:val="NormalTable_1b1a4f05-fe70-42cf-819c-4392d623219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d72e9361-92df-438f-886a-fdc30417e37a" w:customStyle="1">
    <w:name w:val="Table NoRule 2_d72e9361-92df-438f-886a-fdc30417e37a"/>
    <w:basedOn w:val="TableNoRule1_f6aa69d3-54de-476e-84a0-e9ad7444ab57"/>
    <w:uiPriority w:val="99"/>
    <w:pPr>
      <w:pBdr/>
      <w:spacing/>
    </w:pPr>
    <w:rPr/>
    <w:tblPr>
      <w:tblInd w:w="475" w:type="dxa"/>
      <w:tblBorders/>
      <w:tblCellMar/>
    </w:tblPr>
    <w:trPr/>
    <w:tcPr>
      <w:tcBorders/>
      <w:shd w:val="clear" w:color="auto" w:fill="auto"/>
      <w:tcMar/>
      <w:vAlign w:val="top"/>
    </w:tcPr>
  </w:style>
  <w:style w:type="table" w:styleId="TableNoRule3_40c4a56e-0389-4e84-b245-a79e963f9a32" w:customStyle="1">
    <w:name w:val="Table NoRule 3_40c4a56e-0389-4e84-b245-a79e963f9a32"/>
    <w:basedOn w:val="TableNoRule2_d72e9361-92df-438f-886a-fdc30417e37a"/>
    <w:uiPriority w:val="99"/>
    <w:pPr>
      <w:pBdr/>
      <w:spacing/>
    </w:pPr>
    <w:rPr/>
    <w:tblPr>
      <w:tblInd w:w="950" w:type="dxa"/>
      <w:tblBorders/>
      <w:tblCellMar/>
    </w:tblPr>
    <w:trPr/>
    <w:tcPr>
      <w:tcBorders/>
      <w:shd w:val="clear" w:color="auto" w:fill="auto"/>
      <w:tcMar/>
      <w:vAlign w:val="top"/>
    </w:tcPr>
  </w:style>
  <w:style w:type="table" w:styleId="TableNoRule4_ec612010-4102-4d02-96b3-881ac5d78e06" w:customStyle="1">
    <w:name w:val="Table NoRule 4_ec612010-4102-4d02-96b3-881ac5d78e06"/>
    <w:basedOn w:val="TableNoRule3_40c4a56e-0389-4e84-b245-a79e963f9a32"/>
    <w:uiPriority w:val="99"/>
    <w:pPr>
      <w:pBdr/>
      <w:spacing/>
    </w:pPr>
    <w:rPr/>
    <w:tblPr>
      <w:tblInd w:w="1440" w:type="dxa"/>
      <w:tblBorders/>
      <w:tblCellMar/>
    </w:tblPr>
    <w:trPr/>
    <w:tcPr>
      <w:tcBorders/>
      <w:shd w:val="clear" w:color="auto" w:fill="auto"/>
      <w:tcMar/>
      <w:vAlign w:val="top"/>
    </w:tcPr>
  </w:style>
  <w:style w:type="table" w:styleId="TableNoRule5_7cef19b0-182f-460b-b10c-6ece669ec677" w:customStyle="1">
    <w:name w:val="Table NoRule 5_7cef19b0-182f-460b-b10c-6ece669ec677"/>
    <w:basedOn w:val="TableNoRule4_ec612010-4102-4d02-96b3-881ac5d78e06"/>
    <w:uiPriority w:val="99"/>
    <w:pPr>
      <w:pBdr/>
      <w:spacing/>
    </w:pPr>
    <w:rPr/>
    <w:tblPr>
      <w:tblInd w:w="1915" w:type="dxa"/>
      <w:tblBorders/>
      <w:tblCellMar/>
    </w:tblPr>
    <w:trPr/>
    <w:tcPr>
      <w:tcBorders/>
      <w:shd w:val="clear" w:color="auto" w:fill="auto"/>
      <w:tcMar/>
      <w:vAlign w:val="top"/>
    </w:tcPr>
  </w:style>
  <w:style w:type="table" w:styleId="TableNoRule6_903712d4-2bb3-4ac9-88d6-c7596229e298" w:customStyle="1">
    <w:name w:val="Table NoRule 6_903712d4-2bb3-4ac9-88d6-c7596229e298"/>
    <w:basedOn w:val="TableNoRule5_7cef19b0-182f-460b-b10c-6ece669ec677"/>
    <w:uiPriority w:val="99"/>
    <w:pPr>
      <w:pBdr/>
      <w:spacing/>
    </w:pPr>
    <w:rPr/>
    <w:tblPr>
      <w:tblInd w:w="2390" w:type="dxa"/>
      <w:tblBorders/>
      <w:tblCellMar/>
    </w:tblPr>
    <w:trPr/>
    <w:tcPr>
      <w:tcBorders/>
      <w:shd w:val="clear" w:color="auto" w:fill="auto"/>
      <w:tcMar/>
      <w:vAlign w:val="top"/>
    </w:tcPr>
  </w:style>
  <w:style w:type="table" w:styleId="TableNoRule7_d36fd713-2ea4-4121-a56f-70e765cdf94f" w:customStyle="1">
    <w:name w:val="Table NoRule 7_d36fd713-2ea4-4121-a56f-70e765cdf94f"/>
    <w:basedOn w:val="TableNoRule6_903712d4-2bb3-4ac9-88d6-c7596229e298"/>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d36fd713-2ea4-4121-a56f-70e765cdf94f"/>
    <w:uiPriority w:val="99"/>
    <w:pPr>
      <w:pBdr/>
      <w:spacing/>
    </w:pPr>
    <w:rPr/>
    <w:tblPr>
      <w:tblInd w:w="3355" w:type="dxa"/>
      <w:tblBorders/>
      <w:tblCellMar/>
    </w:tblPr>
    <w:trPr/>
    <w:tcPr>
      <w:tcBorders/>
      <w:shd w:val="clear" w:color="auto" w:fill="auto"/>
      <w:tcMar/>
      <w:vAlign w:val="top"/>
    </w:tcPr>
  </w:style>
  <w:style w:type="table" w:styleId="NormalTable_a9591997-31b8-4c69-8f16-d7c388a52d8d" w:customStyle="1">
    <w:name w:val="Normal Table_a9591997-31b8-4c69-8f16-d7c388a52d8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c90a67ef-c636-43cb-8eea-c97f512281ae" w:customStyle="1">
    <w:name w:val="Table NoRule 1_c90a67ef-c636-43cb-8eea-c97f512281ae"/>
    <w:basedOn w:val="NormalTable_a9591997-31b8-4c69-8f16-d7c388a52d8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8a8c95d3-7b98-4df2-ad15-c87a0ad96343" w:customStyle="1">
    <w:name w:val="Table NoRule 2_8a8c95d3-7b98-4df2-ad15-c87a0ad96343"/>
    <w:basedOn w:val="TableNoRule1_c90a67ef-c636-43cb-8eea-c97f512281ae"/>
    <w:uiPriority w:val="99"/>
    <w:pPr>
      <w:pBdr/>
      <w:spacing/>
    </w:pPr>
    <w:rPr/>
    <w:tblPr>
      <w:tblInd w:w="475" w:type="dxa"/>
      <w:tblBorders/>
      <w:tblCellMar/>
    </w:tblPr>
    <w:trPr/>
    <w:tcPr>
      <w:tcBorders/>
      <w:shd w:val="clear" w:color="auto" w:fill="auto"/>
      <w:tcMar/>
      <w:vAlign w:val="top"/>
    </w:tcPr>
  </w:style>
  <w:style w:type="table" w:styleId="TableNoRule3_6ac2653e-beb1-4aed-952d-f736195e7b58" w:customStyle="1">
    <w:name w:val="Table NoRule 3_6ac2653e-beb1-4aed-952d-f736195e7b58"/>
    <w:basedOn w:val="TableNoRule2_8a8c95d3-7b98-4df2-ad15-c87a0ad96343"/>
    <w:uiPriority w:val="99"/>
    <w:pPr>
      <w:pBdr/>
      <w:spacing/>
    </w:pPr>
    <w:rPr/>
    <w:tblPr>
      <w:tblInd w:w="950" w:type="dxa"/>
      <w:tblBorders/>
      <w:tblCellMar/>
    </w:tblPr>
    <w:trPr/>
    <w:tcPr>
      <w:tcBorders/>
      <w:shd w:val="clear" w:color="auto" w:fill="auto"/>
      <w:tcMar/>
      <w:vAlign w:val="top"/>
    </w:tcPr>
  </w:style>
  <w:style w:type="table" w:styleId="TableNoRule4_33f1a66c-9aa9-4c09-a0f6-6d591d70d83f" w:customStyle="1">
    <w:name w:val="Table NoRule 4_33f1a66c-9aa9-4c09-a0f6-6d591d70d83f"/>
    <w:basedOn w:val="TableNoRule3_6ac2653e-beb1-4aed-952d-f736195e7b58"/>
    <w:uiPriority w:val="99"/>
    <w:pPr>
      <w:pBdr/>
      <w:spacing/>
    </w:pPr>
    <w:rPr/>
    <w:tblPr>
      <w:tblInd w:w="1440" w:type="dxa"/>
      <w:tblBorders/>
      <w:tblCellMar/>
    </w:tblPr>
    <w:trPr/>
    <w:tcPr>
      <w:tcBorders/>
      <w:shd w:val="clear" w:color="auto" w:fill="auto"/>
      <w:tcMar/>
      <w:vAlign w:val="top"/>
    </w:tcPr>
  </w:style>
  <w:style w:type="table" w:styleId="TableNoRule5_9acaf90b-0ebd-4e12-9f98-e26899cbb4db" w:customStyle="1">
    <w:name w:val="Table NoRule 5_9acaf90b-0ebd-4e12-9f98-e26899cbb4db"/>
    <w:basedOn w:val="TableNoRule4_33f1a66c-9aa9-4c09-a0f6-6d591d70d83f"/>
    <w:uiPriority w:val="99"/>
    <w:pPr>
      <w:pBdr/>
      <w:spacing/>
    </w:pPr>
    <w:rPr/>
    <w:tblPr>
      <w:tblInd w:w="1915" w:type="dxa"/>
      <w:tblBorders/>
      <w:tblCellMar/>
    </w:tblPr>
    <w:trPr/>
    <w:tcPr>
      <w:tcBorders/>
      <w:shd w:val="clear" w:color="auto" w:fill="auto"/>
      <w:tcMar/>
      <w:vAlign w:val="top"/>
    </w:tcPr>
  </w:style>
  <w:style w:type="table" w:styleId="TableNoRule6_5339b821-2721-49e8-9ce9-70c9ab5c0473" w:customStyle="1">
    <w:name w:val="Table NoRule 6_5339b821-2721-49e8-9ce9-70c9ab5c0473"/>
    <w:basedOn w:val="TableNoRule5_9acaf90b-0ebd-4e12-9f98-e26899cbb4db"/>
    <w:uiPriority w:val="99"/>
    <w:pPr>
      <w:pBdr/>
      <w:spacing/>
    </w:pPr>
    <w:rPr/>
    <w:tblPr>
      <w:tblInd w:w="2390" w:type="dxa"/>
      <w:tblBorders/>
      <w:tblCellMar/>
    </w:tblPr>
    <w:trPr/>
    <w:tcPr>
      <w:tcBorders/>
      <w:shd w:val="clear" w:color="auto" w:fill="auto"/>
      <w:tcMar/>
      <w:vAlign w:val="top"/>
    </w:tcPr>
  </w:style>
  <w:style w:type="table" w:styleId="TableNoRule7_a55a802c-49be-4776-ae46-1a2bf1055741" w:customStyle="1">
    <w:name w:val="Table NoRule 7_a55a802c-49be-4776-ae46-1a2bf1055741"/>
    <w:basedOn w:val="TableNoRule6_5339b821-2721-49e8-9ce9-70c9ab5c0473"/>
    <w:uiPriority w:val="99"/>
    <w:pPr>
      <w:pBdr/>
      <w:spacing/>
    </w:pPr>
    <w:rPr/>
    <w:tblPr>
      <w:tblInd w:w="2880" w:type="dxa"/>
      <w:tblBorders/>
      <w:tblCellMar/>
    </w:tblPr>
    <w:trPr/>
    <w:tcPr>
      <w:tcBorders/>
      <w:shd w:val="clear" w:color="auto" w:fill="auto"/>
      <w:tcMar/>
      <w:vAlign w:val="top"/>
    </w:tcPr>
  </w:style>
  <w:style w:type="table" w:styleId="TableNoRule8_6c2a600b-a74c-4ee6-bb81-629855daaaf4" w:customStyle="1">
    <w:name w:val="Table NoRule 8_6c2a600b-a74c-4ee6-bb81-629855daaaf4"/>
    <w:basedOn w:val="TableNoRule7_a55a802c-49be-4776-ae46-1a2bf1055741"/>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6c2a600b-a74c-4ee6-bb81-629855daaaf4"/>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2" Type="http://schemas.openxmlformats.org/officeDocument/2006/relationships/footer" Target="footer2.xml" /><Relationship Id="rId1"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2025-08-11T00:46:40Z</dcterms:created>
  <dcterms:modified xsi:type="dcterms:W3CDTF">2025-08-11T00:46:40Z</dcterms:modified>
</cp:coreProperties>
</file>