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header1.xml" ContentType="application/vnd.openxmlformats-officedocument.wordprocessingml.header+xml"/>
  <Override PartName="/customXml/itemProps1.xml" ContentType="application/vnd.openxmlformats-officedocument.customXmlProperties+xml"/>
  <Override PartName="/customXml/itemProps2.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Section"/>
        <w:pBdr/>
        <w:spacing/>
        <w:rPr/>
      </w:pPr>
      <w:r>
        <w:rPr/>
        <w:t xml:space="preserve">Sec. 12-3-8.</w:t>
      </w:r>
      <w:r>
        <w:rPr/>
        <w:t xml:space="preserve"> </w:t>
      </w:r>
      <w:r>
        <w:rPr/>
        <w:t xml:space="preserve">Commercial land use district.</w:t>
      </w:r>
    </w:p>
    <w:p>
      <w:pPr>
        <w:pStyle w:val="Paragraph1"/>
        <w:pBdr/>
        <w:spacing/>
        <w:rPr/>
      </w:pPr>
      <w:r>
        <w:rPr>
          <w:rStyle w:val="Paragraph1"/>
        </w:rPr>
        <w:t xml:space="preserve">The regulations in this section shall be applicable to the retail and downtown commercial and wholesale and light industry zoning districts: C-1, C-2A, C-2, and C-3. </w:t>
      </w:r>
    </w:p>
    <w:p>
      <w:pPr>
        <w:pStyle w:val="List2"/>
        <w:pBdr/>
        <w:spacing/>
        <w:rPr/>
      </w:pPr>
      <w:r>
        <w:rPr/>
        <w:t xml:space="preserve">(1)</w:t>
      </w:r>
      <w:r>
        <w:rPr/>
        <w:tab/>
        <w:t xml:space="preserve"/>
      </w:r>
      <w:r>
        <w:rPr>
          <w:i/>
        </w:rPr>
        <w:t xml:space="preserve">Purpose of district.</w:t>
      </w:r>
    </w:p>
    <w:p>
      <w:pPr>
        <w:pStyle w:val="List3"/>
        <w:pBdr/>
        <w:spacing/>
        <w:rPr/>
      </w:pPr>
      <w:r>
        <w:rPr/>
        <w:t xml:space="preserve"> a.</w:t>
      </w:r>
      <w:r>
        <w:rPr/>
        <w:tab/>
        <w:t xml:space="preserve"/>
      </w:r>
      <w:r>
        <w:rPr/>
        <w:t xml:space="preserve">The commercial land use district is established for the purpose of providing areas of commercial development ranging from compact shopping areas to limited industrial/high intensity commercial uses. Conventional residential use is allowed as well as residential uses on upper floors above ground floor commercial or office uses and in other types of mixed-use development. New development and redevelopment projects are strongly encouraged to follow the city's design standards and guidelines contained in</w:t>
      </w:r>
      <w:r>
        <w:rPr/>
        <w:t xml:space="preserve"> section 12-3-121</w:t>
      </w:r>
      <w:r>
        <w:rPr/>
        <w:t xml:space="preserve">. </w:t>
      </w:r>
    </w:p>
    <w:p>
      <w:pPr>
        <w:pStyle w:val="List3"/>
        <w:pBdr/>
        <w:spacing/>
        <w:rPr/>
      </w:pPr>
      <w:r>
        <w:rPr/>
        <w:t xml:space="preserve">b.</w:t>
      </w:r>
      <w:r>
        <w:rPr/>
        <w:tab/>
        <w:t xml:space="preserve"/>
      </w:r>
      <w:r>
        <w:rPr/>
        <w:t xml:space="preserve">The C-1 zoning district's regulations are intended to provide for conveniently supplying the immediate needs of the community where the types of services rendered and the commodities sold are those that are needed frequently. The C-1 zoning district is intended to provide a transitional buffer between mixed-use neighborhood commercial areas and more intense commercial zoning. The downtown and retail commercial (C-2A and C-2) zoning districts' regulations are intended to provide for major commercial areas intended primarily for retail sales and service establishments oriented to a general community and/or regional market. The C-3 wholesale and light industry zoning district's regulations are intended to provide for general commercial services, wholesale distribution, storage and light fabrication. </w:t>
      </w:r>
    </w:p>
    <w:p>
      <w:pPr>
        <w:pStyle w:val="List3"/>
        <w:pBdr/>
        <w:spacing/>
        <w:rPr/>
      </w:pPr>
      <w:r>
        <w:rPr/>
        <w:t xml:space="preserve">c.</w:t>
      </w:r>
      <w:r>
        <w:rPr/>
        <w:tab/>
        <w:t xml:space="preserve"/>
      </w:r>
      <w:r>
        <w:rPr/>
        <w:t xml:space="preserve">The downtown retail commercial (C-2A) zoning district's regulations are intended to provide a mix of restaurants, retail sales, entertainment, and service establishments with an emphasis on pedestrian-oriented ground floor shops and market spaces. </w:t>
      </w:r>
    </w:p>
    <w:p>
      <w:pPr>
        <w:pStyle w:val="List3"/>
        <w:pBdr/>
        <w:spacing/>
        <w:rPr/>
      </w:pPr>
      <w:r>
        <w:rPr/>
        <w:t xml:space="preserve">d.</w:t>
      </w:r>
      <w:r>
        <w:rPr/>
        <w:tab/>
        <w:t xml:space="preserve"/>
      </w:r>
      <w:r>
        <w:rPr/>
        <w:t xml:space="preserve">The commercial retail (C-2) zoning district's regulations are intended to provide for major commercial areas intended primarily for retail sales and service establishments oriented to a general community and/or regional market. </w:t>
      </w:r>
    </w:p>
    <w:p>
      <w:pPr>
        <w:pStyle w:val="List3"/>
        <w:pBdr/>
        <w:spacing/>
        <w:rPr/>
      </w:pPr>
      <w:r>
        <w:rPr/>
        <w:t xml:space="preserve">e.</w:t>
      </w:r>
      <w:r>
        <w:rPr/>
        <w:tab/>
        <w:t xml:space="preserve"/>
      </w:r>
      <w:r>
        <w:rPr/>
        <w:t xml:space="preserve">The C-3 wholesale and light industry zoning district's regulations are intended to provide for general commercial services, wholesale distribution, storage and light fabrication. </w:t>
      </w:r>
    </w:p>
    <w:p>
      <w:pPr>
        <w:pStyle w:val="List2"/>
        <w:pBdr/>
        <w:spacing/>
        <w:rPr/>
      </w:pPr>
      <w:r>
        <w:rPr/>
        <w:t xml:space="preserve">(2)</w:t>
      </w:r>
      <w:r>
        <w:rPr/>
        <w:tab/>
        <w:t xml:space="preserve"/>
      </w:r>
      <w:r>
        <w:rPr>
          <w:i/>
        </w:rPr>
        <w:t xml:space="preserve">Uses permitted.</w:t>
      </w:r>
    </w:p>
    <w:p>
      <w:pPr>
        <w:pStyle w:val="List3"/>
        <w:pBdr/>
        <w:spacing/>
        <w:rPr/>
      </w:pPr>
      <w:r>
        <w:rPr/>
        <w:t xml:space="preserve"> a.</w:t>
      </w:r>
      <w:r>
        <w:rPr/>
        <w:tab/>
        <w:t xml:space="preserve"/>
      </w:r>
      <w:r>
        <w:rPr>
          <w:i/>
        </w:rPr>
        <w:t xml:space="preserve">C-1, retail commercial zoning district.</w:t>
      </w:r>
      <w:r>
        <w:rPr/>
        <w:t xml:space="preserve"> Any use permitted in the R-NC district and the following uses, with no outside storage or repair work permitted: </w:t>
      </w:r>
    </w:p>
    <w:p>
      <w:pPr>
        <w:pStyle w:val="List4"/>
        <w:pBdr/>
        <w:spacing/>
        <w:rPr/>
      </w:pPr>
      <w:r>
        <w:rPr/>
        <w:t xml:space="preserve">1.</w:t>
      </w:r>
      <w:r>
        <w:rPr/>
        <w:tab/>
        <w:t xml:space="preserve"/>
      </w:r>
      <w:r>
        <w:rPr/>
        <w:t xml:space="preserve">Retail sales and services. </w:t>
      </w:r>
    </w:p>
    <w:p>
      <w:pPr>
        <w:pStyle w:val="List4"/>
        <w:pBdr/>
        <w:spacing/>
        <w:rPr/>
      </w:pPr>
      <w:r>
        <w:rPr/>
        <w:t xml:space="preserve">2.</w:t>
      </w:r>
      <w:r>
        <w:rPr/>
        <w:tab/>
        <w:t xml:space="preserve"/>
      </w:r>
      <w:r>
        <w:rPr/>
        <w:t xml:space="preserve">Motels/hotels. </w:t>
      </w:r>
    </w:p>
    <w:p>
      <w:pPr>
        <w:pStyle w:val="List4"/>
        <w:pBdr/>
        <w:spacing/>
        <w:rPr/>
      </w:pPr>
      <w:r>
        <w:rPr/>
        <w:t xml:space="preserve">3.</w:t>
      </w:r>
      <w:r>
        <w:rPr/>
        <w:tab/>
        <w:t xml:space="preserve"/>
      </w:r>
      <w:r>
        <w:rPr/>
        <w:t xml:space="preserve">Vending machine when as accessory to a business establishment and located on the same parcel of land as the business. </w:t>
      </w:r>
    </w:p>
    <w:p>
      <w:pPr>
        <w:pStyle w:val="List4"/>
        <w:pBdr/>
        <w:spacing/>
        <w:rPr/>
      </w:pPr>
      <w:r>
        <w:rPr/>
        <w:t xml:space="preserve">4.</w:t>
      </w:r>
      <w:r>
        <w:rPr/>
        <w:tab/>
        <w:t xml:space="preserve"/>
      </w:r>
      <w:r>
        <w:rPr/>
        <w:t xml:space="preserve">Car washes. </w:t>
      </w:r>
    </w:p>
    <w:p>
      <w:pPr>
        <w:pStyle w:val="List4"/>
        <w:pBdr/>
        <w:spacing/>
        <w:rPr/>
      </w:pPr>
      <w:r>
        <w:rPr/>
        <w:t xml:space="preserve">5.</w:t>
      </w:r>
      <w:r>
        <w:rPr/>
        <w:tab/>
        <w:t xml:space="preserve"/>
      </w:r>
      <w:r>
        <w:rPr/>
        <w:t xml:space="preserve">Movie theaters, except drive-in theaters. </w:t>
      </w:r>
    </w:p>
    <w:p>
      <w:pPr>
        <w:pStyle w:val="List4"/>
        <w:pBdr/>
        <w:spacing/>
        <w:rPr/>
      </w:pPr>
      <w:r>
        <w:rPr/>
        <w:t xml:space="preserve">6.</w:t>
      </w:r>
      <w:r>
        <w:rPr/>
        <w:tab/>
        <w:t xml:space="preserve"/>
      </w:r>
      <w:r>
        <w:rPr/>
        <w:t xml:space="preserve">Open air sales of trees, plants and shrubs. The business shall include a permanent sales or office building (including restrooms) on the site. </w:t>
      </w:r>
    </w:p>
    <w:p>
      <w:pPr>
        <w:pStyle w:val="List4"/>
        <w:pBdr/>
        <w:spacing/>
        <w:rPr/>
      </w:pPr>
      <w:r>
        <w:rPr/>
        <w:t xml:space="preserve">7.</w:t>
      </w:r>
      <w:r>
        <w:rPr/>
        <w:tab/>
        <w:t xml:space="preserve"/>
      </w:r>
      <w:r>
        <w:rPr/>
        <w:t xml:space="preserve">Pet shops with all uses inside the principal building. </w:t>
      </w:r>
    </w:p>
    <w:p>
      <w:pPr>
        <w:pStyle w:val="List4"/>
        <w:pBdr/>
        <w:spacing/>
        <w:rPr/>
      </w:pPr>
      <w:r>
        <w:rPr/>
        <w:t xml:space="preserve">8.</w:t>
      </w:r>
      <w:r>
        <w:rPr/>
        <w:tab/>
        <w:t xml:space="preserve"/>
      </w:r>
      <w:r>
        <w:rPr/>
        <w:t xml:space="preserve">Parking lots and parking garages. </w:t>
      </w:r>
    </w:p>
    <w:p>
      <w:pPr>
        <w:pStyle w:val="List4"/>
        <w:pBdr/>
        <w:spacing/>
        <w:rPr/>
      </w:pPr>
      <w:r>
        <w:rPr/>
        <w:t xml:space="preserve">9.</w:t>
      </w:r>
      <w:r>
        <w:rPr/>
        <w:tab/>
        <w:t xml:space="preserve"/>
      </w:r>
      <w:r>
        <w:rPr/>
        <w:t xml:space="preserve">Pest extermination services. </w:t>
      </w:r>
    </w:p>
    <w:p>
      <w:pPr>
        <w:pStyle w:val="List4"/>
        <w:pBdr/>
        <w:spacing/>
        <w:rPr/>
      </w:pPr>
      <w:r>
        <w:rPr/>
        <w:t xml:space="preserve">10.</w:t>
      </w:r>
      <w:r>
        <w:rPr/>
        <w:tab/>
        <w:t xml:space="preserve"/>
      </w:r>
      <w:r>
        <w:rPr/>
        <w:t xml:space="preserve">Animal hospitals and veterinary clinics with fully enclosed kennels and no outside runs or exercise areas. </w:t>
      </w:r>
    </w:p>
    <w:p>
      <w:pPr>
        <w:pStyle w:val="List4"/>
        <w:pBdr/>
        <w:spacing/>
        <w:rPr/>
      </w:pPr>
      <w:r>
        <w:rPr/>
        <w:t xml:space="preserve">11.</w:t>
      </w:r>
      <w:r>
        <w:rPr/>
        <w:tab/>
        <w:t xml:space="preserve"/>
      </w:r>
      <w:r>
        <w:rPr/>
        <w:t xml:space="preserve">Business schools. </w:t>
      </w:r>
    </w:p>
    <w:p>
      <w:pPr>
        <w:pStyle w:val="List4"/>
        <w:pBdr/>
        <w:spacing/>
        <w:rPr/>
      </w:pPr>
      <w:r>
        <w:rPr/>
        <w:t xml:space="preserve">12.</w:t>
      </w:r>
      <w:r>
        <w:rPr/>
        <w:tab/>
        <w:t xml:space="preserve"/>
      </w:r>
      <w:r>
        <w:rPr/>
        <w:t xml:space="preserve">Trade schools. </w:t>
      </w:r>
    </w:p>
    <w:p>
      <w:pPr>
        <w:pStyle w:val="List4"/>
        <w:pBdr/>
        <w:spacing/>
        <w:rPr/>
      </w:pPr>
      <w:r>
        <w:rPr/>
        <w:t xml:space="preserve">13.</w:t>
      </w:r>
      <w:r>
        <w:rPr/>
        <w:tab/>
        <w:t xml:space="preserve"/>
      </w:r>
      <w:r>
        <w:rPr/>
        <w:t xml:space="preserve">Medical marijuana dispensary. </w:t>
      </w:r>
    </w:p>
    <w:p>
      <w:pPr>
        <w:pStyle w:val="List4"/>
        <w:pBdr/>
        <w:spacing/>
        <w:rPr/>
      </w:pPr>
      <w:r>
        <w:rPr/>
        <w:t xml:space="preserve">14.</w:t>
      </w:r>
      <w:r>
        <w:rPr/>
        <w:tab/>
        <w:t xml:space="preserve"/>
      </w:r>
      <w:r>
        <w:rPr/>
        <w:t xml:space="preserve">Recreation or amusement places operated for profit. </w:t>
      </w:r>
    </w:p>
    <w:p>
      <w:pPr>
        <w:pStyle w:val="List4"/>
        <w:pBdr/>
        <w:spacing/>
        <w:rPr/>
      </w:pPr>
      <w:r>
        <w:rPr/>
        <w:t xml:space="preserve">15.</w:t>
      </w:r>
      <w:r>
        <w:rPr/>
        <w:tab/>
        <w:t xml:space="preserve"/>
      </w:r>
      <w:r>
        <w:rPr/>
        <w:t xml:space="preserve">Accessory buildings and uses customarily incidental to the above uses. </w:t>
      </w:r>
    </w:p>
    <w:p>
      <w:pPr>
        <w:pStyle w:val="List3"/>
        <w:pBdr/>
        <w:spacing/>
        <w:rPr/>
      </w:pPr>
      <w:r>
        <w:rPr/>
        <w:t xml:space="preserve">b.</w:t>
      </w:r>
      <w:r>
        <w:rPr/>
        <w:tab/>
        <w:t xml:space="preserve"/>
      </w:r>
      <w:r>
        <w:rPr>
          <w:i/>
        </w:rPr>
        <w:t xml:space="preserve">C-2A, downtown retail commercial district.</w:t>
      </w:r>
      <w:r>
        <w:rPr/>
        <w:t xml:space="preserve"> Any use permitted in the C-1 district with the exception of manufactured home parks, and conditional uses. The following uses with no outside storage or repair work permitted: </w:t>
      </w:r>
    </w:p>
    <w:p>
      <w:pPr>
        <w:pStyle w:val="List4"/>
        <w:pBdr/>
        <w:spacing/>
        <w:rPr/>
      </w:pPr>
      <w:r>
        <w:rPr/>
        <w:t xml:space="preserve">1.</w:t>
      </w:r>
      <w:r>
        <w:rPr/>
        <w:tab/>
        <w:t xml:space="preserve"/>
      </w:r>
      <w:r>
        <w:rPr/>
        <w:t xml:space="preserve">Bars. </w:t>
      </w:r>
    </w:p>
    <w:p>
      <w:pPr>
        <w:pStyle w:val="List4"/>
        <w:pBdr/>
        <w:spacing/>
        <w:rPr/>
      </w:pPr>
      <w:r>
        <w:rPr/>
        <w:t xml:space="preserve">2.</w:t>
      </w:r>
      <w:r>
        <w:rPr/>
        <w:tab/>
        <w:t xml:space="preserve"/>
      </w:r>
      <w:r>
        <w:rPr/>
        <w:t xml:space="preserve">Pool halls. </w:t>
      </w:r>
    </w:p>
    <w:p>
      <w:pPr>
        <w:pStyle w:val="List4"/>
        <w:pBdr/>
        <w:spacing/>
        <w:rPr/>
      </w:pPr>
      <w:r>
        <w:rPr/>
        <w:t xml:space="preserve">3.</w:t>
      </w:r>
      <w:r>
        <w:rPr/>
        <w:tab/>
        <w:t xml:space="preserve"/>
      </w:r>
      <w:r>
        <w:rPr/>
        <w:t xml:space="preserve">Newspaper offices and printing firms. </w:t>
      </w:r>
    </w:p>
    <w:p>
      <w:pPr>
        <w:pStyle w:val="List4"/>
        <w:pBdr/>
        <w:spacing/>
        <w:rPr/>
      </w:pPr>
      <w:r>
        <w:rPr/>
        <w:t xml:space="preserve">4.</w:t>
      </w:r>
      <w:r>
        <w:rPr/>
        <w:tab/>
        <w:t xml:space="preserve"/>
      </w:r>
      <w:r>
        <w:rPr/>
        <w:t xml:space="preserve">Marinas. </w:t>
      </w:r>
    </w:p>
    <w:p>
      <w:pPr>
        <w:pStyle w:val="List4"/>
        <w:pBdr/>
        <w:spacing/>
        <w:rPr/>
      </w:pPr>
      <w:r>
        <w:rPr/>
        <w:t xml:space="preserve">5.</w:t>
      </w:r>
      <w:r>
        <w:rPr/>
        <w:tab/>
        <w:t xml:space="preserve"/>
      </w:r>
      <w:r>
        <w:rPr/>
        <w:t xml:space="preserve">Major public utility buildings and structures including radio and television broadcasting station. </w:t>
      </w:r>
    </w:p>
    <w:p>
      <w:pPr>
        <w:pStyle w:val="List4"/>
        <w:pBdr/>
        <w:spacing/>
        <w:rPr/>
      </w:pPr>
      <w:r>
        <w:rPr/>
        <w:t xml:space="preserve">6.</w:t>
      </w:r>
      <w:r>
        <w:rPr/>
        <w:tab/>
        <w:t xml:space="preserve"/>
      </w:r>
      <w:r>
        <w:rPr/>
        <w:t xml:space="preserve">Accessory buildings and uses customarily incidental to the above uses. </w:t>
      </w:r>
    </w:p>
    <w:p>
      <w:pPr>
        <w:pStyle w:val="List3"/>
        <w:pBdr/>
        <w:spacing/>
        <w:rPr/>
      </w:pPr>
      <w:r>
        <w:rPr/>
        <w:t xml:space="preserve">c.</w:t>
      </w:r>
      <w:r>
        <w:rPr/>
        <w:tab/>
        <w:t xml:space="preserve"/>
      </w:r>
      <w:r>
        <w:rPr>
          <w:i/>
        </w:rPr>
        <w:t xml:space="preserve">C-2, commercial district (retail).</w:t>
      </w:r>
      <w:r>
        <w:rPr/>
        <w:t xml:space="preserve"> Any use permitted in the C-2A district and the following uses with no outside storage or repair work permitted: </w:t>
      </w:r>
    </w:p>
    <w:p>
      <w:pPr>
        <w:pStyle w:val="List4"/>
        <w:pBdr/>
        <w:spacing/>
        <w:rPr/>
      </w:pPr>
      <w:r>
        <w:rPr/>
        <w:t xml:space="preserve">1.</w:t>
      </w:r>
      <w:r>
        <w:rPr/>
        <w:tab/>
        <w:t xml:space="preserve"/>
      </w:r>
      <w:r>
        <w:rPr/>
        <w:t xml:space="preserve">Cabinet shops and upholstery shops. </w:t>
      </w:r>
    </w:p>
    <w:p>
      <w:pPr>
        <w:pStyle w:val="List4"/>
        <w:pBdr/>
        <w:spacing/>
        <w:rPr/>
      </w:pPr>
      <w:r>
        <w:rPr/>
        <w:t xml:space="preserve">2.</w:t>
      </w:r>
      <w:r>
        <w:rPr/>
        <w:tab/>
        <w:t xml:space="preserve"/>
      </w:r>
      <w:r>
        <w:rPr/>
        <w:t xml:space="preserve">Electric motor repair and rebuilding. </w:t>
      </w:r>
    </w:p>
    <w:p>
      <w:pPr>
        <w:pStyle w:val="List4"/>
        <w:pBdr/>
        <w:spacing/>
        <w:rPr/>
      </w:pPr>
      <w:r>
        <w:rPr/>
        <w:t xml:space="preserve">3.</w:t>
      </w:r>
      <w:r>
        <w:rPr/>
        <w:tab/>
        <w:t xml:space="preserve"/>
      </w:r>
      <w:r>
        <w:rPr/>
        <w:t xml:space="preserve">Garages for the repair and overhauling of automobiles. </w:t>
      </w:r>
    </w:p>
    <w:p>
      <w:pPr>
        <w:pStyle w:val="List4"/>
        <w:pBdr/>
        <w:spacing/>
        <w:rPr/>
      </w:pPr>
      <w:r>
        <w:rPr/>
        <w:t xml:space="preserve">4.</w:t>
      </w:r>
      <w:r>
        <w:rPr/>
        <w:tab/>
        <w:t xml:space="preserve"/>
      </w:r>
      <w:r>
        <w:rPr/>
        <w:t xml:space="preserve">Sign shop. </w:t>
      </w:r>
    </w:p>
    <w:p>
      <w:pPr>
        <w:pStyle w:val="List4"/>
        <w:pBdr/>
        <w:spacing/>
        <w:rPr/>
      </w:pPr>
      <w:r>
        <w:rPr/>
        <w:t xml:space="preserve">5.</w:t>
      </w:r>
      <w:r>
        <w:rPr/>
        <w:tab/>
        <w:t xml:space="preserve"/>
      </w:r>
      <w:r>
        <w:rPr/>
        <w:t xml:space="preserve">Accessory buildings and uses customarily incidental to the above uses. </w:t>
      </w:r>
    </w:p>
    <w:p>
      <w:pPr>
        <w:pStyle w:val="List3"/>
        <w:pBdr/>
        <w:spacing/>
        <w:rPr/>
      </w:pPr>
      <w:r>
        <w:rPr/>
        <w:t xml:space="preserve">d.</w:t>
      </w:r>
      <w:r>
        <w:rPr/>
        <w:tab/>
        <w:t xml:space="preserve"/>
      </w:r>
      <w:r>
        <w:rPr>
          <w:i/>
        </w:rPr>
        <w:t xml:space="preserve">C-3, commercial zoning district (wholesale and limited industry).</w:t>
      </w:r>
    </w:p>
    <w:p>
      <w:pPr>
        <w:pStyle w:val="List4"/>
        <w:pBdr/>
        <w:spacing/>
        <w:rPr/>
      </w:pPr>
      <w:r>
        <w:rPr/>
        <w:t xml:space="preserve"> 1.</w:t>
      </w:r>
      <w:r>
        <w:rPr/>
        <w:tab/>
        <w:t xml:space="preserve"/>
      </w:r>
      <w:r>
        <w:rPr/>
        <w:t xml:space="preserve">Any use permitted in the C-2 district. Outside storage and work shall be permitted for those uses and the following uses, but shall be screened by an opaque fence or wall at least eight feet high at installation. Vegetation shall also be used as a screen and shall provide 75 percent opacity. The vegetative screen shall be located on the exterior of the required fence. </w:t>
      </w:r>
    </w:p>
    <w:p>
      <w:pPr>
        <w:pStyle w:val="List4"/>
        <w:pBdr/>
        <w:spacing/>
        <w:rPr/>
      </w:pPr>
      <w:r>
        <w:rPr/>
        <w:t xml:space="preserve">2.</w:t>
      </w:r>
      <w:r>
        <w:rPr/>
        <w:tab/>
        <w:t xml:space="preserve"/>
      </w:r>
      <w:r>
        <w:rPr/>
        <w:t xml:space="preserve">Outside kennels, runs or exercise areas for animals subject to regulations in</w:t>
      </w:r>
      <w:r>
        <w:rPr/>
        <w:t xml:space="preserve"> section 12-3-83</w:t>
      </w:r>
      <w:r>
        <w:rPr/>
        <w:t xml:space="preserve">. </w:t>
      </w:r>
    </w:p>
    <w:p>
      <w:pPr>
        <w:pStyle w:val="List4"/>
        <w:pBdr/>
        <w:spacing/>
        <w:rPr/>
      </w:pPr>
      <w:r>
        <w:rPr/>
        <w:t xml:space="preserve">3.</w:t>
      </w:r>
      <w:r>
        <w:rPr/>
        <w:tab/>
        <w:t xml:space="preserve"/>
      </w:r>
      <w:r>
        <w:rPr/>
        <w:t xml:space="preserve">Growing and wholesale of retail sales of trees, shrubs and plants. </w:t>
      </w:r>
    </w:p>
    <w:p>
      <w:pPr>
        <w:pStyle w:val="List4"/>
        <w:pBdr/>
        <w:spacing/>
        <w:rPr/>
      </w:pPr>
      <w:r>
        <w:rPr/>
        <w:t xml:space="preserve">4.</w:t>
      </w:r>
      <w:r>
        <w:rPr/>
        <w:tab/>
        <w:t xml:space="preserve"/>
      </w:r>
      <w:r>
        <w:rPr/>
        <w:t xml:space="preserve">Bakeries, wholesale. </w:t>
      </w:r>
    </w:p>
    <w:p>
      <w:pPr>
        <w:pStyle w:val="List4"/>
        <w:pBdr/>
        <w:spacing/>
        <w:rPr/>
      </w:pPr>
      <w:r>
        <w:rPr/>
        <w:t xml:space="preserve">5.</w:t>
      </w:r>
      <w:r>
        <w:rPr/>
        <w:tab/>
        <w:t xml:space="preserve"/>
      </w:r>
      <w:r>
        <w:rPr/>
        <w:t xml:space="preserve">Ice cream factories and dairies. </w:t>
      </w:r>
    </w:p>
    <w:p>
      <w:pPr>
        <w:pStyle w:val="List4"/>
        <w:pBdr/>
        <w:spacing/>
        <w:rPr/>
      </w:pPr>
      <w:r>
        <w:rPr/>
        <w:t xml:space="preserve">6.</w:t>
      </w:r>
      <w:r>
        <w:rPr/>
        <w:tab/>
        <w:t xml:space="preserve"/>
      </w:r>
      <w:r>
        <w:rPr/>
        <w:t xml:space="preserve">Quick-freeze plants and frozen food lockers. </w:t>
      </w:r>
    </w:p>
    <w:p>
      <w:pPr>
        <w:pStyle w:val="List4"/>
        <w:pBdr/>
        <w:spacing/>
        <w:rPr/>
      </w:pPr>
      <w:r>
        <w:rPr/>
        <w:t xml:space="preserve">7.</w:t>
      </w:r>
      <w:r>
        <w:rPr/>
        <w:tab/>
        <w:t xml:space="preserve"/>
      </w:r>
      <w:r>
        <w:rPr/>
        <w:t xml:space="preserve">Boat sales and repair. </w:t>
      </w:r>
    </w:p>
    <w:p>
      <w:pPr>
        <w:pStyle w:val="List4"/>
        <w:pBdr/>
        <w:spacing/>
        <w:rPr/>
      </w:pPr>
      <w:r>
        <w:rPr/>
        <w:t xml:space="preserve">8.</w:t>
      </w:r>
      <w:r>
        <w:rPr/>
        <w:tab/>
        <w:t xml:space="preserve"/>
      </w:r>
      <w:r>
        <w:rPr/>
        <w:t xml:space="preserve">Outdoor theaters. </w:t>
      </w:r>
    </w:p>
    <w:p>
      <w:pPr>
        <w:pStyle w:val="List4"/>
        <w:pBdr/>
        <w:spacing/>
        <w:rPr/>
      </w:pPr>
      <w:r>
        <w:rPr/>
        <w:t xml:space="preserve">9.</w:t>
      </w:r>
      <w:r>
        <w:rPr/>
        <w:tab/>
        <w:t xml:space="preserve"/>
      </w:r>
      <w:r>
        <w:rPr/>
        <w:t xml:space="preserve">Industrial research laboratories and pharmaceutical companies. </w:t>
      </w:r>
    </w:p>
    <w:p>
      <w:pPr>
        <w:pStyle w:val="List4"/>
        <w:pBdr/>
        <w:spacing/>
        <w:rPr/>
      </w:pPr>
      <w:r>
        <w:rPr/>
        <w:t xml:space="preserve">10.</w:t>
      </w:r>
      <w:r>
        <w:rPr/>
        <w:tab/>
        <w:t xml:space="preserve"/>
      </w:r>
      <w:r>
        <w:rPr/>
        <w:t xml:space="preserve">Truck sales and repair. </w:t>
      </w:r>
    </w:p>
    <w:p>
      <w:pPr>
        <w:pStyle w:val="List4"/>
        <w:pBdr/>
        <w:spacing/>
        <w:rPr/>
      </w:pPr>
      <w:r>
        <w:rPr/>
        <w:t xml:space="preserve">11.</w:t>
      </w:r>
      <w:r>
        <w:rPr/>
        <w:tab/>
        <w:t xml:space="preserve"/>
      </w:r>
      <w:r>
        <w:rPr/>
        <w:t xml:space="preserve">Light metal fabrication and assembly. </w:t>
      </w:r>
    </w:p>
    <w:p>
      <w:pPr>
        <w:pStyle w:val="List4"/>
        <w:pBdr/>
        <w:spacing/>
        <w:rPr/>
      </w:pPr>
      <w:r>
        <w:rPr/>
        <w:t xml:space="preserve">12.</w:t>
      </w:r>
      <w:r>
        <w:rPr/>
        <w:tab/>
        <w:t xml:space="preserve"/>
      </w:r>
      <w:r>
        <w:rPr/>
        <w:t xml:space="preserve">Contractors shops. </w:t>
      </w:r>
    </w:p>
    <w:p>
      <w:pPr>
        <w:pStyle w:val="List4"/>
        <w:pBdr/>
        <w:spacing/>
        <w:rPr/>
      </w:pPr>
      <w:r>
        <w:rPr/>
        <w:t xml:space="preserve">13.</w:t>
      </w:r>
      <w:r>
        <w:rPr/>
        <w:tab/>
        <w:t xml:space="preserve"/>
      </w:r>
      <w:r>
        <w:rPr/>
        <w:t xml:space="preserve">Adult entertainment establishments subject to the requirements of</w:t>
      </w:r>
      <w:r>
        <w:rPr/>
        <w:t xml:space="preserve"> chapter 7-3</w:t>
      </w:r>
      <w:r>
        <w:rPr/>
        <w:t xml:space="preserve">. </w:t>
      </w:r>
    </w:p>
    <w:p>
      <w:pPr>
        <w:pStyle w:val="List4"/>
        <w:pBdr/>
        <w:spacing/>
        <w:rPr/>
      </w:pPr>
      <w:r>
        <w:rPr/>
        <w:t xml:space="preserve">14.</w:t>
      </w:r>
      <w:r>
        <w:rPr/>
        <w:tab/>
        <w:t xml:space="preserve"/>
      </w:r>
      <w:r>
        <w:rPr/>
        <w:t xml:space="preserve">Industrial laundries and dry cleaners using combustible or flammable liquids or solvents with a flash point of 190 degrees Fahrenheit or less which provide industrial type cleaning, including linen supply, rug and carpet cleaning, and diaper service. </w:t>
      </w:r>
    </w:p>
    <w:p>
      <w:pPr>
        <w:pStyle w:val="List4"/>
        <w:pBdr/>
        <w:spacing/>
        <w:rPr/>
      </w:pPr>
      <w:r>
        <w:rPr/>
        <w:t xml:space="preserve">15.</w:t>
      </w:r>
      <w:r>
        <w:rPr/>
        <w:tab/>
        <w:t xml:space="preserve"/>
      </w:r>
      <w:r>
        <w:rPr/>
        <w:t xml:space="preserve">Retail lumber and building materials. </w:t>
      </w:r>
    </w:p>
    <w:p>
      <w:pPr>
        <w:pStyle w:val="List4"/>
        <w:pBdr/>
        <w:spacing/>
        <w:rPr/>
      </w:pPr>
      <w:r>
        <w:rPr/>
        <w:t xml:space="preserve">16.</w:t>
      </w:r>
      <w:r>
        <w:rPr/>
        <w:tab/>
        <w:t xml:space="preserve"/>
      </w:r>
      <w:r>
        <w:rPr/>
        <w:t xml:space="preserve">Warehouses. </w:t>
      </w:r>
    </w:p>
    <w:p>
      <w:pPr>
        <w:pStyle w:val="List4"/>
        <w:pBdr/>
        <w:spacing/>
        <w:rPr/>
      </w:pPr>
      <w:r>
        <w:rPr/>
        <w:t xml:space="preserve">17.</w:t>
      </w:r>
      <w:r>
        <w:rPr/>
        <w:tab/>
        <w:t xml:space="preserve"/>
      </w:r>
      <w:r>
        <w:rPr/>
        <w:t xml:space="preserve">Plumbing and electrical shops. </w:t>
      </w:r>
    </w:p>
    <w:p>
      <w:pPr>
        <w:pStyle w:val="List4"/>
        <w:pBdr/>
        <w:spacing/>
        <w:rPr/>
      </w:pPr>
      <w:r>
        <w:rPr/>
        <w:t xml:space="preserve">18.</w:t>
      </w:r>
      <w:r>
        <w:rPr/>
        <w:tab/>
        <w:t xml:space="preserve"/>
      </w:r>
      <w:r>
        <w:rPr/>
        <w:t xml:space="preserve">New car and used car lots, including trucks which do not exceed 5,000 pounds. </w:t>
      </w:r>
    </w:p>
    <w:p>
      <w:pPr>
        <w:pStyle w:val="List4"/>
        <w:pBdr/>
        <w:spacing/>
        <w:rPr/>
      </w:pPr>
      <w:r>
        <w:rPr/>
        <w:t xml:space="preserve">19.</w:t>
      </w:r>
      <w:r>
        <w:rPr/>
        <w:tab/>
        <w:t xml:space="preserve"/>
      </w:r>
      <w:r>
        <w:rPr/>
        <w:t xml:space="preserve">Car rental agencies and storage, including trucks which do not exceed 5,000 pounds. </w:t>
      </w:r>
    </w:p>
    <w:p>
      <w:pPr>
        <w:pStyle w:val="List4"/>
        <w:pBdr/>
        <w:spacing/>
        <w:rPr/>
      </w:pPr>
      <w:r>
        <w:rPr/>
        <w:t xml:space="preserve">20.</w:t>
      </w:r>
      <w:r>
        <w:rPr/>
        <w:tab/>
        <w:t xml:space="preserve"/>
      </w:r>
      <w:r>
        <w:rPr/>
        <w:t xml:space="preserve">Pawnshops and secondhand stores. </w:t>
      </w:r>
    </w:p>
    <w:p>
      <w:pPr>
        <w:pStyle w:val="List4"/>
        <w:pBdr/>
        <w:spacing/>
        <w:rPr/>
      </w:pPr>
      <w:r>
        <w:rPr/>
        <w:t xml:space="preserve">21.</w:t>
      </w:r>
      <w:r>
        <w:rPr/>
        <w:tab/>
        <w:t xml:space="preserve"/>
      </w:r>
      <w:r>
        <w:rPr/>
        <w:t xml:space="preserve">Mini-storage warehouses. </w:t>
      </w:r>
    </w:p>
    <w:p>
      <w:pPr>
        <w:pStyle w:val="List4"/>
        <w:pBdr/>
        <w:spacing/>
        <w:rPr/>
      </w:pPr>
      <w:r>
        <w:rPr/>
        <w:t xml:space="preserve">22.</w:t>
      </w:r>
      <w:r>
        <w:rPr/>
        <w:tab/>
        <w:t xml:space="preserve"/>
      </w:r>
      <w:r>
        <w:rPr/>
        <w:t xml:space="preserve">Advanced manufacturing and/or processing operations provided that such use does not constitute a nuisance due to emission of dust, odor, gas, smoke, fumes, or noise. </w:t>
      </w:r>
    </w:p>
    <w:p>
      <w:pPr>
        <w:pStyle w:val="List4"/>
        <w:pBdr/>
        <w:spacing/>
        <w:rPr/>
      </w:pPr>
      <w:r>
        <w:rPr/>
        <w:t xml:space="preserve">23.</w:t>
      </w:r>
      <w:r>
        <w:rPr/>
        <w:tab/>
        <w:t xml:space="preserve"/>
      </w:r>
      <w:r>
        <w:rPr/>
        <w:t xml:space="preserve">Accessory buildings and uses customarily incidental to the above uses. </w:t>
      </w:r>
    </w:p>
    <w:p>
      <w:pPr>
        <w:pStyle w:val="List2"/>
        <w:pBdr/>
        <w:spacing/>
        <w:rPr/>
      </w:pPr>
      <w:r>
        <w:rPr/>
        <w:t xml:space="preserve">(3)</w:t>
      </w:r>
      <w:r>
        <w:rPr/>
        <w:tab/>
        <w:t xml:space="preserve"/>
      </w:r>
      <w:r>
        <w:rPr>
          <w:i/>
        </w:rPr>
        <w:t xml:space="preserve">Regulations.</w:t>
      </w:r>
      <w:r>
        <w:rPr/>
        <w:t xml:space="preserve"> All developments are required to comply with design standards and are strongly encouraged to follow design guidelines as established in</w:t>
      </w:r>
      <w:r>
        <w:rPr/>
        <w:t xml:space="preserve"> section 12-3-121</w:t>
      </w:r>
      <w:r>
        <w:rPr/>
        <w:t xml:space="preserve">. Table 12-3.7 describes height, area and yard requirements for the C-1, C-2, C-2A and C-3 commercial zoning districts: </w:t>
      </w:r>
    </w:p>
    <w:p>
      <w:pPr>
        <w:pBdr/>
        <w:spacing/>
        <w:rPr/>
      </w:pPr>
      <w:r>
        <w:rPr>
          <w:rStyle w:val="Block2Center"/>
        </w:rPr>
        <w:t xml:space="preserve">  TABLE 12-3.7. REGULATIONS FOR THE COMMERCIAL </w:t>
      </w:r>
      <w:r>
        <w:rPr/>
        <w:br/>
      </w:r>
      <w:r>
        <w:rPr>
          <w:rStyle w:val="Block2Center"/>
        </w:rPr>
        <w:t xml:space="preserve">ZONING DISTRICTS </w:t>
      </w:r>
    </w:p>
    <w:tbl>
      <w:tblPr>
        <w:tblStyle w:val="Table1"/>
        <w:tblW w:w="5000" w:type="pct"/>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blLook w:val="04A0" w:firstRow="1" w:lastRow="0" w:firstColumn="1" w:lastColumn="0" w:noHBand="0" w:noVBand="1"/>
      </w:tblPr>
      <w:tblGrid>
        <w:gridCol w:w="2394"/>
        <w:gridCol w:w="2394"/>
        <w:gridCol w:w="2394"/>
        <w:gridCol w:w="2394"/>
      </w:tblGrid>
      <w:tr>
        <w:trPr/>
        <w:tc>
          <w:tcPr>
            <w:tcW w:type="pct" w:w="1250"/>
            <w:tcBorders/>
          </w:tcPr>
          <w:p>
            <w:pPr>
              <w:pBdr/>
              <w:spacing/>
              <w:jc w:val="left"/>
              <w:rPr/>
            </w:pPr>
            <w:r>
              <w:rPr>
                <w:sz w:val="22"/>
              </w:rPr>
              <w:t xml:space="preserve"> Standards </w:t>
            </w:r>
          </w:p>
        </w:tc>
        <w:tc>
          <w:tcPr>
            <w:tcW w:type="pct" w:w="1250"/>
            <w:tcBorders/>
          </w:tcPr>
          <w:p>
            <w:pPr>
              <w:pBdr/>
              <w:spacing/>
              <w:jc w:val="left"/>
              <w:rPr/>
            </w:pPr>
            <w:r>
              <w:rPr>
                <w:sz w:val="22"/>
              </w:rPr>
              <w:t xml:space="preserve">C-1 </w:t>
            </w:r>
          </w:p>
        </w:tc>
        <w:tc>
          <w:tcPr>
            <w:tcW w:type="pct" w:w="1250"/>
            <w:tcBorders/>
          </w:tcPr>
          <w:p>
            <w:pPr>
              <w:pBdr/>
              <w:spacing/>
              <w:jc w:val="left"/>
              <w:rPr/>
            </w:pPr>
            <w:r>
              <w:rPr>
                <w:sz w:val="22"/>
              </w:rPr>
              <w:t xml:space="preserve">C-2A </w:t>
            </w:r>
          </w:p>
        </w:tc>
        <w:tc>
          <w:tcPr>
            <w:tcW w:type="pct" w:w="1250"/>
            <w:tcBorders/>
          </w:tcPr>
          <w:p>
            <w:pPr>
              <w:pBdr/>
              <w:spacing/>
              <w:jc w:val="left"/>
              <w:rPr/>
            </w:pPr>
            <w:r>
              <w:rPr>
                <w:sz w:val="22"/>
              </w:rPr>
              <w:t xml:space="preserve">C-2 and C-3 </w:t>
            </w:r>
          </w:p>
        </w:tc>
      </w:tr>
      <w:tr>
        <w:trPr/>
        <w:tc>
          <w:tcPr>
            <w:tcW w:type="pct" w:w="1250"/>
            <w:tcBorders/>
          </w:tcPr>
          <w:p>
            <w:pPr>
              <w:pBdr/>
              <w:spacing/>
              <w:jc w:val="left"/>
              <w:rPr/>
            </w:pPr>
            <w:r>
              <w:rPr>
                <w:sz w:val="22"/>
              </w:rPr>
              <w:t xml:space="preserve">Minimum Yard Requirements </w:t>
            </w:r>
            <w:r>
              <w:rPr>
                <w:sz w:val="22"/>
              </w:rPr>
              <w:br/>
            </w:r>
            <w:r>
              <w:rPr>
                <w:sz w:val="22"/>
              </w:rPr>
              <w:t xml:space="preserve">(Minimum Building Setbacks) </w:t>
            </w:r>
          </w:p>
        </w:tc>
        <w:tc>
          <w:tcPr>
            <w:tcW w:type="pct" w:w="3750"/>
            <w:gridSpan w:val="3"/>
            <w:tcBorders/>
          </w:tcPr>
          <w:p>
            <w:pPr>
              <w:pBdr/>
              <w:spacing/>
              <w:jc w:val="left"/>
              <w:rPr/>
            </w:pPr>
            <w:r>
              <w:rPr>
                <w:sz w:val="22"/>
              </w:rPr>
              <w:t xml:space="preserve">There shall be no yard requirements, except that where any nonresidential use is contiguous to a residential zoning district there shall be a 20-foot yard unless the two districts are separated by a public street, body of water, or similar manmade or natural buffer of equal width. </w:t>
            </w:r>
            <w:r>
              <w:rPr>
                <w:sz w:val="22"/>
              </w:rPr>
              <w:br/>
            </w:r>
            <w:r>
              <w:rPr>
                <w:sz w:val="22"/>
              </w:rPr>
              <w:t xml:space="preserve">Inside the C-2A District and Dense Business Area: There shall be a maximum allowed front yard setback of 10 feet. </w:t>
            </w:r>
          </w:p>
        </w:tc>
      </w:tr>
      <w:tr>
        <w:trPr/>
        <w:tc>
          <w:tcPr>
            <w:tcW w:type="pct" w:w="1250"/>
            <w:tcBorders/>
          </w:tcPr>
          <w:p>
            <w:pPr>
              <w:pBdr/>
              <w:spacing/>
              <w:jc w:val="left"/>
              <w:rPr/>
            </w:pPr>
            <w:r>
              <w:rPr>
                <w:sz w:val="22"/>
              </w:rPr>
              <w:t xml:space="preserve">Maximum Building Height </w:t>
            </w:r>
          </w:p>
        </w:tc>
        <w:tc>
          <w:tcPr>
            <w:tcW w:type="pct" w:w="1250"/>
            <w:tcBorders/>
          </w:tcPr>
          <w:p>
            <w:pPr>
              <w:pBdr/>
              <w:spacing/>
              <w:jc w:val="left"/>
              <w:rPr/>
            </w:pPr>
            <w:r>
              <w:rPr>
                <w:sz w:val="22"/>
              </w:rPr>
              <w:t xml:space="preserve">No building shall exceed 45 feet in height at the property or setback lines. (See Note 1) </w:t>
            </w:r>
          </w:p>
        </w:tc>
        <w:tc>
          <w:tcPr>
            <w:tcW w:type="pct" w:w="2500"/>
            <w:gridSpan w:val="2"/>
            <w:tcBorders/>
          </w:tcPr>
          <w:p>
            <w:pPr>
              <w:pBdr/>
              <w:spacing/>
              <w:jc w:val="left"/>
              <w:rPr/>
            </w:pPr>
            <w:r>
              <w:rPr>
                <w:sz w:val="22"/>
              </w:rPr>
              <w:t xml:space="preserve">No building shall exceed 100 feet in height at the property or setback lines. (See Note 1) </w:t>
            </w:r>
          </w:p>
        </w:tc>
      </w:tr>
      <w:tr>
        <w:trPr/>
        <w:tc>
          <w:tcPr>
            <w:tcW w:type="pct" w:w="1250"/>
            <w:tcBorders/>
          </w:tcPr>
          <w:p>
            <w:pPr>
              <w:pBdr/>
              <w:spacing/>
              <w:jc w:val="left"/>
              <w:rPr/>
            </w:pPr>
            <w:r>
              <w:rPr>
                <w:sz w:val="22"/>
              </w:rPr>
              <w:t xml:space="preserve">Lot Coverage Requirements (The maximum combined area occupied by all principal and accessory buildings) </w:t>
            </w:r>
          </w:p>
        </w:tc>
        <w:tc>
          <w:tcPr>
            <w:tcW w:type="pct" w:w="1250"/>
            <w:tcBorders/>
          </w:tcPr>
          <w:p>
            <w:pPr>
              <w:pBdr/>
              <w:spacing/>
              <w:jc w:val="left"/>
              <w:rPr/>
            </w:pPr>
            <w:r>
              <w:rPr>
                <w:sz w:val="22"/>
              </w:rPr>
              <w:t xml:space="preserve">Shall not exceed 75 percent of the total site area for buildings up to 100 feet in height. For buildings over 100 feet in height, lot coverage shall not exceed 65 percent. </w:t>
            </w:r>
          </w:p>
        </w:tc>
        <w:tc>
          <w:tcPr>
            <w:tcW w:type="pct" w:w="1250"/>
            <w:tcBorders/>
          </w:tcPr>
          <w:p>
            <w:pPr>
              <w:pBdr/>
              <w:spacing/>
              <w:jc w:val="left"/>
              <w:rPr/>
            </w:pPr>
            <w:r>
              <w:rPr>
                <w:sz w:val="22"/>
              </w:rPr>
              <w:t xml:space="preserve">Shall not exceed 100 percent of the total site area for buildings up to 100 feet in height. For buildings over 100 feet in height, lot coverage shall not exceed 90 percent. </w:t>
            </w:r>
          </w:p>
        </w:tc>
        <w:tc>
          <w:tcPr>
            <w:tcW w:type="pct" w:w="1250"/>
            <w:tcBorders/>
          </w:tcPr>
          <w:p>
            <w:pPr>
              <w:pBdr/>
              <w:spacing/>
              <w:jc w:val="left"/>
              <w:rPr/>
            </w:pPr>
            <w:r>
              <w:rPr>
                <w:sz w:val="22"/>
              </w:rPr>
              <w:t xml:space="preserve">Inside the dense business area: shall not exceed 100 percent of the total site area for buildings up to 100 feet in height. For buildings over 100 feet in height, lot coverage shall not exceed 90 percent (with the exception of the C-2A zoning district). </w:t>
            </w:r>
            <w:r>
              <w:rPr>
                <w:sz w:val="22"/>
              </w:rPr>
              <w:br/>
            </w:r>
            <w:r>
              <w:rPr>
                <w:sz w:val="22"/>
              </w:rPr>
              <w:t xml:space="preserve">Outside the dense business area: shall not exceed 75 percent of the total site area for buildings up to 100 feet in height. For buildings over 100 feet in height, lot coverage shall not exceed 65 percent. </w:t>
            </w:r>
          </w:p>
        </w:tc>
      </w:tr>
      <w:tr>
        <w:trPr/>
        <w:tc>
          <w:tcPr>
            <w:tcW w:type="pct" w:w="1250"/>
            <w:tcBorders/>
          </w:tcPr>
          <w:p>
            <w:pPr>
              <w:pBdr/>
              <w:spacing/>
              <w:jc w:val="left"/>
              <w:rPr/>
            </w:pPr>
            <w:r>
              <w:rPr>
                <w:sz w:val="22"/>
              </w:rPr>
              <w:t xml:space="preserve">Maximum Density Multiple-Family Dwellings </w:t>
            </w:r>
          </w:p>
        </w:tc>
        <w:tc>
          <w:tcPr>
            <w:tcW w:type="pct" w:w="1250"/>
            <w:tcBorders/>
          </w:tcPr>
          <w:p>
            <w:pPr>
              <w:pBdr/>
              <w:spacing/>
              <w:jc w:val="left"/>
              <w:rPr/>
            </w:pPr>
            <w:r>
              <w:rPr>
                <w:sz w:val="22"/>
              </w:rPr>
              <w:t xml:space="preserve">35 dwelling units per acre. </w:t>
            </w:r>
          </w:p>
        </w:tc>
        <w:tc>
          <w:tcPr>
            <w:tcW w:type="pct" w:w="1250"/>
            <w:tcBorders/>
          </w:tcPr>
          <w:p>
            <w:pPr>
              <w:pBdr/>
              <w:spacing/>
              <w:jc w:val="left"/>
              <w:rPr/>
            </w:pPr>
            <w:r>
              <w:rPr>
                <w:sz w:val="22"/>
              </w:rPr>
              <w:t xml:space="preserve">135 dwelling units per acre. </w:t>
            </w:r>
          </w:p>
        </w:tc>
        <w:tc>
          <w:tcPr>
            <w:tcW w:type="pct" w:w="1250"/>
            <w:tcBorders/>
          </w:tcPr>
          <w:p>
            <w:pPr>
              <w:pBdr/>
              <w:spacing/>
              <w:jc w:val="left"/>
              <w:rPr/>
            </w:pPr>
            <w:r>
              <w:rPr>
                <w:sz w:val="22"/>
              </w:rPr>
              <w:t xml:space="preserve">Inside the dense business area: 135 dwelling units per acre. </w:t>
            </w:r>
            <w:r>
              <w:rPr>
                <w:sz w:val="22"/>
              </w:rPr>
              <w:br/>
            </w:r>
            <w:r>
              <w:rPr>
                <w:sz w:val="22"/>
              </w:rPr>
              <w:t xml:space="preserve">Outside the dense business area: 35 dwelling units per acre. </w:t>
            </w:r>
          </w:p>
        </w:tc>
      </w:tr>
      <w:tr>
        <w:trPr/>
        <w:tc>
          <w:tcPr>
            <w:tcW w:type="pct" w:w="5000"/>
            <w:gridSpan w:val="4"/>
            <w:tcBorders/>
          </w:tcPr>
          <w:p>
            <w:pPr>
              <w:pBdr/>
              <w:spacing/>
              <w:jc w:val="left"/>
              <w:rPr/>
            </w:pPr>
            <w:r>
              <w:rPr>
                <w:sz w:val="22"/>
              </w:rPr>
              <w:t xml:space="preserve">Note 1: Three feet may be added to the height of the building for each foot the building elevation is stair-stepped or recessed back from the property or setback lines beginning at the height permitted up to a maximum height of 150 feet. </w:t>
            </w:r>
          </w:p>
        </w:tc>
      </w:tr>
    </w:tbl>
    <w:p>
      <w:pPr>
        <w:pBdr/>
        <w:spacing/>
        <w:rPr/>
      </w:pPr>
    </w:p>
    <w:p>
      <w:pPr>
        <w:pStyle w:val="List2"/>
        <w:pBdr/>
        <w:spacing/>
        <w:rPr/>
      </w:pPr>
      <w:r>
        <w:rPr/>
        <w:t xml:space="preserve">(4)</w:t>
      </w:r>
      <w:r>
        <w:rPr/>
        <w:tab/>
        <w:t xml:space="preserve"/>
      </w:r>
      <w:r>
        <w:rPr>
          <w:i/>
        </w:rPr>
        <w:t xml:space="preserve">Additional regulations.</w:t>
      </w:r>
      <w:r>
        <w:rPr/>
        <w:t xml:space="preserve"> In addition to the regulations established above in subsection (3) of this section, all developments within the commercial zoning districts will be subject to, and must comply with, the following regulations: </w:t>
      </w:r>
    </w:p>
    <w:p>
      <w:pPr>
        <w:pStyle w:val="List3"/>
        <w:pBdr/>
        <w:spacing/>
        <w:rPr/>
      </w:pPr>
      <w:r>
        <w:rPr/>
        <w:t xml:space="preserve">a.</w:t>
      </w:r>
      <w:r>
        <w:rPr/>
        <w:tab/>
        <w:t xml:space="preserve"/>
      </w:r>
      <w:r>
        <w:rPr/>
        <w:t xml:space="preserve">Supplementary district regulations subject to regulations in sections</w:t>
      </w:r>
      <w:r>
        <w:rPr/>
        <w:t xml:space="preserve"> 12-3-55</w:t>
      </w:r>
      <w:r>
        <w:rPr/>
        <w:t xml:space="preserve"> through</w:t>
      </w:r>
      <w:r>
        <w:rPr/>
        <w:t xml:space="preserve"> 12-3-69</w:t>
      </w:r>
      <w:r>
        <w:rPr/>
        <w:t xml:space="preserve">. </w:t>
      </w:r>
    </w:p>
    <w:p>
      <w:pPr>
        <w:pStyle w:val="List3"/>
        <w:pBdr/>
        <w:spacing/>
        <w:rPr/>
      </w:pPr>
      <w:r>
        <w:rPr/>
        <w:t xml:space="preserve">b.</w:t>
      </w:r>
      <w:r>
        <w:rPr/>
        <w:tab/>
        <w:t xml:space="preserve"/>
      </w:r>
      <w:r>
        <w:rPr/>
        <w:t xml:space="preserve">Off-street parking subject to regulations in</w:t>
      </w:r>
      <w:r>
        <w:rPr/>
        <w:t xml:space="preserve"> chapter 12-4</w:t>
      </w:r>
      <w:r>
        <w:rPr/>
        <w:t xml:space="preserve">. </w:t>
      </w:r>
    </w:p>
    <w:p>
      <w:pPr>
        <w:pStyle w:val="List3"/>
        <w:pBdr/>
        <w:spacing/>
        <w:rPr/>
      </w:pPr>
      <w:r>
        <w:rPr/>
        <w:t xml:space="preserve">c.</w:t>
      </w:r>
      <w:r>
        <w:rPr/>
        <w:tab/>
        <w:t xml:space="preserve"/>
      </w:r>
      <w:r>
        <w:rPr/>
        <w:t xml:space="preserve">Signs subject to regulations in</w:t>
      </w:r>
      <w:r>
        <w:rPr/>
        <w:t xml:space="preserve"> chapter 12-5</w:t>
      </w:r>
      <w:r>
        <w:rPr/>
        <w:t xml:space="preserve">. </w:t>
      </w:r>
    </w:p>
    <w:p>
      <w:pPr>
        <w:pStyle w:val="List3"/>
        <w:pBdr/>
        <w:spacing/>
        <w:rPr/>
      </w:pPr>
      <w:r>
        <w:rPr/>
        <w:t xml:space="preserve">d.</w:t>
      </w:r>
      <w:r>
        <w:rPr/>
        <w:tab/>
        <w:t xml:space="preserve"/>
      </w:r>
      <w:r>
        <w:rPr/>
        <w:t xml:space="preserve">Tree/landscape regulations subject to regulations in</w:t>
      </w:r>
      <w:r>
        <w:rPr/>
        <w:t xml:space="preserve"> chapter 12-6</w:t>
      </w:r>
      <w:r>
        <w:rPr/>
        <w:t xml:space="preserve">. </w:t>
      </w:r>
    </w:p>
    <w:p>
      <w:pPr>
        <w:pStyle w:val="List3"/>
        <w:pBdr/>
        <w:spacing/>
        <w:rPr/>
      </w:pPr>
      <w:r>
        <w:rPr/>
        <w:t xml:space="preserve">e.</w:t>
      </w:r>
      <w:r>
        <w:rPr/>
        <w:tab/>
        <w:t xml:space="preserve"/>
      </w:r>
      <w:r>
        <w:rPr/>
        <w:t xml:space="preserve">Stormwater management and control of erosion, sedimentation and runoff subject to regulations in</w:t>
      </w:r>
      <w:r>
        <w:rPr/>
        <w:t xml:space="preserve"> chapter 12-8</w:t>
      </w:r>
      <w:r>
        <w:rPr/>
        <w:t xml:space="preserve">. </w:t>
      </w:r>
    </w:p>
    <w:p>
      <w:pPr>
        <w:pStyle w:val="List3"/>
        <w:pBdr/>
        <w:spacing/>
        <w:rPr/>
      </w:pPr>
      <w:r>
        <w:rPr/>
        <w:t xml:space="preserve">f.</w:t>
      </w:r>
      <w:r>
        <w:rPr/>
        <w:tab/>
        <w:t xml:space="preserve"/>
      </w:r>
      <w:r>
        <w:rPr/>
        <w:t xml:space="preserve">Alcoholic beverages regulations subject to</w:t>
      </w:r>
      <w:r>
        <w:rPr/>
        <w:t xml:space="preserve"> chapter 7-4</w:t>
      </w:r>
      <w:r>
        <w:rPr/>
        <w:t xml:space="preserve">. </w:t>
      </w:r>
    </w:p>
    <w:p>
      <w:pPr>
        <w:pStyle w:val="HistoryNote"/>
        <w:pBdr/>
        <w:spacing/>
        <w:rPr/>
      </w:pPr>
      <w:r>
        <w:rPr>
          <w:rStyle w:val="HistoryNote"/>
        </w:rPr>
        <w:t xml:space="preserve">(Code 1986, § 12-2-8; Ord. No. 25-92, § 1, 7-23-1992; Ord. No. 6-93, § 6, 3-25-1993; Ord. No. 29-93, § 6, 11-18-1993; Ord. No. 3-94, § 4, 1-13-1994; Ord. No. 44-94, § 1, 10-13-1994; Ord. No. 33-95, § 2 (exh. 1), 8-10-1995; Ord. No. 40-99, §§ 2, 3, 10-14-1999; Ord. No. 17-06, § 1, 7-27-2006; Ord. No. 11-09, § 1, 4-9-2009; Ord. No. 13-12, § 1, 6-14-2012; Ord. No. 12-13, § 1, 5-9-2013; Ord. No. 40-13, § 1, 11-14-2013; Ord. No. 01-16, § 1, 1-14-2016; Ord. No. 06-17, § 1, 3-9-2017; Ord. No. 12-19, § 1, 5-16-2019)</w:t>
      </w:r>
    </w:p>
    <w:p>
      <w:pPr>
        <w:pBdr/>
        <w:spacing w:before="0" w:after="0"/>
        <w:rPr/>
      </w:pPr>
    </w:p>
    <w:sectPr>
      <w:headerReference w:type="default" r:id="rId1"/>
      <w:footerReference w:type="default" r:id="rId2"/>
      <w:type w:val="continuous"/>
      <w:pgSz w:w="12240" w:h="15840"/>
      <w:pgMar w:top="1440" w:right="1440" w:bottom="1440" w:left="1440" w:header="720" w:footer="720" w:gutter="0"/>
      <w:pgBorders/>
      <w:pgNumType w:fmt="decimal"/>
      <w:cols w:equalWidth="1" w:space="720"/>
    </w:sectPr>
  </w:body>
</w:document>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FooterCenter"/>
      <w:pBdr>
        <w:bottom w:val="single" w:color="auto" w:sz="4" w:space="0"/>
      </w:pBdr>
      <w:spacing/>
      <w:rPr/>
    </w:pPr>
  </w:p>
  <w:p>
    <w:pPr>
      <w:pStyle w:val="FooterLeft"/>
      <w:pBdr/>
      <w:spacing/>
      <w:rPr/>
    </w:pPr>
    <w:r>
      <w:rPr/>
      <w:tab/>
      <w:t xml:space="preserve"/>
    </w:r>
    <w:r>
      <w:rPr>
        <w:rFonts w:ascii="Consolas" w:hAnsi="Consolas" w:eastAsia="Consolas" w:cs="Consolas"/>
        <w:sz w:val="12"/>
      </w:rPr>
      <w:t xml:space="preserve">   Created: 2023-06-06 09:46:05 [EST]</w:t>
    </w:r>
  </w:p>
  <w:p>
    <w:pPr>
      <w:pStyle w:val="FooterLeft"/>
      <w:pBdr/>
      <w:spacing/>
      <w:rPr/>
    </w:pPr>
    <w:r>
      <w:rPr/>
      <w:t xml:space="preserve">(Supp. No. 3)</w:t>
    </w:r>
  </w:p>
  <w:p>
    <w:pPr>
      <w:pStyle w:val="FooterCenter"/>
      <w:pBdr/>
      <w:spacing/>
      <w:jc w:val="center"/>
      <w:rPr/>
    </w:pPr>
    <w:r>
      <w:cr/>
    </w:r>
    <w:r>
      <w:rPr/>
      <w:t xml:space="preserve">Page </w:t>
    </w:r>
    <w:r>
      <w:rPr/>
      <w:fldChar w:fldCharType="begin"/>
    </w:r>
    <w:r>
      <w:rPr/>
      <w:instrText xml:space="preserve">PAGE \* MERGEFORMAT</w:instrText>
    </w:r>
    <w:r>
      <w:rPr/>
      <w:fldChar w:fldCharType="separate"/>
    </w:r>
    <w:r>
      <w:rPr/>
      <w:fldChar w:fldCharType="end"/>
    </w:r>
    <w:r>
      <w:rPr/>
      <w:t xml:space="preserve"> of </w:t>
    </w:r>
    <w:r>
      <w:rPr/>
      <w:fldChar w:fldCharType="begin"/>
    </w:r>
    <w:r>
      <w:rPr/>
      <w:instrText xml:space="preserve">NUMPAGES \* MERGEFORMAT</w:instrText>
    </w:r>
    <w:r>
      <w:rPr/>
      <w:fldChar w:fldCharType="separate"/>
    </w:r>
    <w:r>
      <w:rPr/>
      <w:fldChar w:fldCharType="end"/>
    </w:r>
  </w:p>
</w:ftr>
</file>

<file path=word/header1.xml><?xml version="1.0" encoding="utf-8"?>
<w:hd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p>
    <w:pPr>
      <w:pStyle w:val="HeaderCenter"/>
      <w:pBdr/>
      <w:spacing/>
      <w:rPr/>
    </w:pPr>
  </w:p>
  <w:p>
    <w:pPr>
      <w:pStyle w:val="HeaderCenter"/>
      <w:pBdr>
        <w:top w:val="single" w:color="auto" w:sz="4" w:space="0"/>
      </w:pBdr>
      <w:spacing/>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lvl w:ilvl="0">
      <w:start w:val="1"/>
      <w:numFmt w:val="bullet"/>
      <w:pStyle w:val="ListBullet"/>
      <w:suff w:val="tab"/>
      <w:lvlText w:val=""/>
      <w:pPr>
        <w:pBdr/>
        <w:tabs>
          <w:tab w:val="num" w:pos="360"/>
        </w:tabs>
        <w:spacing/>
        <w:ind w:left="36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1">
    <w:nsid w:val="FFFFFF88"/>
    <w:lvl w:ilvl="0">
      <w:start w:val="1"/>
      <w:numFmt w:val="decimal"/>
      <w:pStyle w:val="ListNumber"/>
      <w:suff w:val="tab"/>
      <w:lvlText w:val="%1."/>
      <w:pPr>
        <w:pBdr/>
        <w:tabs>
          <w:tab w:val="num" w:pos="360"/>
        </w:tabs>
        <w:spacing/>
        <w:ind w:left="36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2">
    <w:nsid w:val="FFFFFF83"/>
    <w:lvl w:ilvl="0">
      <w:start w:val="1"/>
      <w:numFmt w:val="bullet"/>
      <w:pStyle w:val="ListBullet2"/>
      <w:suff w:val="tab"/>
      <w:lvlText w:val=""/>
      <w:pPr>
        <w:pBdr/>
        <w:tabs>
          <w:tab w:val="num" w:pos="720"/>
        </w:tabs>
        <w:spacing/>
        <w:ind w:left="72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3">
    <w:nsid w:val="FFFFFF82"/>
    <w:lvl w:ilvl="0">
      <w:start w:val="1"/>
      <w:numFmt w:val="bullet"/>
      <w:pStyle w:val="ListBullet3"/>
      <w:suff w:val="tab"/>
      <w:lvlText w:val=""/>
      <w:pPr>
        <w:pBdr/>
        <w:tabs>
          <w:tab w:val="num" w:pos="1080"/>
        </w:tabs>
        <w:spacing/>
        <w:ind w:left="108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4">
    <w:nsid w:val="FFFFFF81"/>
    <w:lvl w:ilvl="0">
      <w:start w:val="1"/>
      <w:numFmt w:val="bullet"/>
      <w:pStyle w:val="ListBullet4"/>
      <w:suff w:val="tab"/>
      <w:lvlText w:val=""/>
      <w:pPr>
        <w:pBdr/>
        <w:tabs>
          <w:tab w:val="num" w:pos="1440"/>
        </w:tabs>
        <w:spacing/>
        <w:ind w:left="144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5">
    <w:nsid w:val="FFFFFF80"/>
    <w:lvl w:ilvl="0">
      <w:start w:val="1"/>
      <w:numFmt w:val="bullet"/>
      <w:pStyle w:val="ListBullet5"/>
      <w:suff w:val="tab"/>
      <w:lvlText w:val=""/>
      <w:pPr>
        <w:pBdr/>
        <w:tabs>
          <w:tab w:val="num" w:pos="1800"/>
        </w:tabs>
        <w:spacing/>
        <w:ind w:left="1800" w:hanging="360"/>
      </w:pPr>
      <w:rPr>
        <w:rFonts w:ascii="Symbol" w:hAnsi="Symbol" w:hint="default"/>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6">
    <w:nsid w:val="FFFFFF7F"/>
    <w:lvl w:ilvl="0">
      <w:start w:val="1"/>
      <w:numFmt w:val="decimal"/>
      <w:pStyle w:val="ListNumber2"/>
      <w:suff w:val="tab"/>
      <w:lvlText w:val="%1."/>
      <w:pPr>
        <w:pBdr/>
        <w:tabs>
          <w:tab w:val="num" w:pos="720"/>
        </w:tabs>
        <w:spacing/>
        <w:ind w:left="72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7">
    <w:nsid w:val="FFFFFF7E"/>
    <w:lvl w:ilvl="0">
      <w:start w:val="1"/>
      <w:numFmt w:val="decimal"/>
      <w:pStyle w:val="ListNumber3"/>
      <w:suff w:val="tab"/>
      <w:lvlText w:val="%1."/>
      <w:pPr>
        <w:pBdr/>
        <w:tabs>
          <w:tab w:val="num" w:pos="1080"/>
        </w:tabs>
        <w:spacing/>
        <w:ind w:left="108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8">
    <w:nsid w:val="FFFFFF7D"/>
    <w:lvl w:ilvl="0">
      <w:start w:val="1"/>
      <w:numFmt w:val="decimal"/>
      <w:pStyle w:val="ListNumber4"/>
      <w:suff w:val="tab"/>
      <w:lvlText w:val="%1."/>
      <w:pPr>
        <w:pBdr/>
        <w:tabs>
          <w:tab w:val="num" w:pos="1440"/>
        </w:tabs>
        <w:spacing/>
        <w:ind w:left="1440" w:hanging="360"/>
      </w:pPr>
      <w:rPr/>
    </w:lvl>
    <w:lvl w:ilvl="1">
      <w:start w:val="0"/>
      <w:numFmt w:val="decimal"/>
      <w:suff w:val="tab"/>
      <w:lvlText w:val=""/>
      <w:pPr>
        <w:pBdr/>
        <w:spacing/>
      </w:pPr>
      <w:rPr/>
    </w:lvl>
    <w:lvl w:ilvl="2">
      <w:start w:val="0"/>
      <w:numFmt w:val="decimal"/>
      <w:suff w:val="tab"/>
      <w:lvlText w:val=""/>
      <w:pPr>
        <w:pBdr/>
        <w:spacing/>
      </w:pPr>
      <w:rPr/>
    </w:lvl>
    <w:lvl w:ilvl="3">
      <w:start w:val="0"/>
      <w:numFmt w:val="decimal"/>
      <w:suff w:val="tab"/>
      <w:lvlText w:val=""/>
      <w:pPr>
        <w:pBdr/>
        <w:spacing/>
      </w:pPr>
      <w:rPr/>
    </w:lvl>
    <w:lvl w:ilvl="4">
      <w:start w:val="0"/>
      <w:numFmt w:val="decimal"/>
      <w:suff w:val="tab"/>
      <w:lvlText w:val=""/>
      <w:pPr>
        <w:pBdr/>
        <w:spacing/>
      </w:pPr>
      <w:rPr/>
    </w:lvl>
    <w:lvl w:ilvl="5">
      <w:start w:val="0"/>
      <w:numFmt w:val="decimal"/>
      <w:suff w:val="tab"/>
      <w:lvlText w:val=""/>
      <w:pPr>
        <w:pBdr/>
        <w:spacing/>
      </w:pPr>
      <w:rPr/>
    </w:lvl>
    <w:lvl w:ilvl="6">
      <w:start w:val="0"/>
      <w:numFmt w:val="decimal"/>
      <w:suff w:val="tab"/>
      <w:lvlText w:val=""/>
      <w:pPr>
        <w:pBdr/>
        <w:spacing/>
      </w:pPr>
      <w:rPr/>
    </w:lvl>
    <w:lvl w:ilvl="7">
      <w:start w:val="0"/>
      <w:numFmt w:val="decimal"/>
      <w:suff w:val="tab"/>
      <w:lvlText w:val=""/>
      <w:pPr>
        <w:pBdr/>
        <w:spacing/>
      </w:pPr>
      <w:rPr/>
    </w:lvl>
    <w:lvl w:ilvl="8">
      <w:start w:val="0"/>
      <w:numFmt w:val="decimal"/>
      <w:suff w:val="tab"/>
      <w:lvlText w:val=""/>
      <w:pPr>
        <w:pBdr/>
        <w:spacing/>
      </w:pPr>
      <w:rPr/>
    </w:lvl>
  </w:abstractNum>
  <w:abstractNum w:abstractNumId="9">
    <w:nsid w:val="21013291"/>
    <w:lvl w:ilvl="0">
      <w:start w:val="1"/>
      <w:numFmt w:val="decimal"/>
      <w:pStyle w:val="ListNumber5"/>
      <w:suff w:val="tab"/>
      <w:lvlText w:val="%1."/>
      <w:pPr>
        <w:pBdr/>
        <w:spacing/>
        <w:ind w:left="720" w:hanging="720"/>
      </w:pPr>
      <w:rPr/>
    </w:lvl>
    <w:lvl w:ilvl="1">
      <w:start w:val="1"/>
      <w:numFmt w:val="decimal"/>
      <w:suff w:val="tab"/>
      <w:lvlText w:val="%2."/>
      <w:pPr>
        <w:pBdr/>
        <w:spacing/>
        <w:ind w:left="1440" w:hanging="720"/>
      </w:pPr>
      <w:rPr/>
    </w:lvl>
    <w:lvl w:ilvl="2">
      <w:start w:val="1"/>
      <w:numFmt w:val="decimal"/>
      <w:suff w:val="tab"/>
      <w:lvlText w:val="%3."/>
      <w:pPr>
        <w:pBdr/>
        <w:spacing/>
        <w:ind w:left="2160" w:hanging="720"/>
      </w:pPr>
      <w:rPr/>
    </w:lvl>
    <w:lvl w:ilvl="3">
      <w:start w:val="1"/>
      <w:numFmt w:val="decimal"/>
      <w:suff w:val="tab"/>
      <w:lvlText w:val="%4."/>
      <w:pPr>
        <w:pBdr/>
        <w:spacing/>
        <w:ind w:left="2880" w:hanging="720"/>
      </w:pPr>
      <w:rPr/>
    </w:lvl>
    <w:lvl w:ilvl="4">
      <w:start w:val="1"/>
      <w:numFmt w:val="decimal"/>
      <w:suff w:val="tab"/>
      <w:lvlText w:val="%5."/>
      <w:pPr>
        <w:pBdr/>
        <w:spacing/>
        <w:ind w:left="3600" w:hanging="720"/>
      </w:pPr>
      <w:rPr/>
    </w:lvl>
    <w:lvl w:ilvl="5">
      <w:start w:val="1"/>
      <w:numFmt w:val="decimal"/>
      <w:suff w:val="tab"/>
      <w:lvlText w:val="%6."/>
      <w:pPr>
        <w:pBdr/>
        <w:spacing/>
        <w:ind w:left="4320" w:hanging="720"/>
      </w:pPr>
      <w:rPr/>
    </w:lvl>
    <w:lvl w:ilvl="6">
      <w:start w:val="1"/>
      <w:numFmt w:val="decimal"/>
      <w:suff w:val="tab"/>
      <w:lvlText w:val="%7."/>
      <w:pPr>
        <w:pBdr/>
        <w:spacing/>
        <w:ind w:left="5040" w:hanging="720"/>
      </w:pPr>
      <w:rPr/>
    </w:lvl>
    <w:lvl w:ilvl="7">
      <w:start w:val="1"/>
      <w:numFmt w:val="decimal"/>
      <w:suff w:val="tab"/>
      <w:lvlText w:val="%8."/>
      <w:pPr>
        <w:pBdr/>
        <w:spacing/>
        <w:ind w:left="5760" w:hanging="720"/>
      </w:pPr>
      <w:rPr/>
    </w:lvl>
    <w:lvl w:ilvl="8">
      <w:start w:val="1"/>
      <w:numFmt w:val="decimal"/>
      <w:suff w:val="tab"/>
      <w:lvlText w:val="%9."/>
      <w:pPr>
        <w:pBdr/>
        <w:spacing/>
        <w:ind w:left="6480" w:hanging="720"/>
      </w:pPr>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4"/>
        <w:szCs w:val="24"/>
        <w:lang w:val="en-US" w:eastAsia="en-US" w:bidi="ar-SA"/>
      </w:rPr>
    </w:rPrDefault>
    <w:pPrDefault>
      <w:pPr>
        <w:pBdr/>
        <w:spacing w:before="40" w:after="120"/>
        <w:jc w:val="both"/>
      </w:pPr>
    </w:pPrDefault>
  </w:docDefaults>
  <w:style w:type="paragraph" w:styleId="Normal" w:default="1">
    <w:name w:val="Normal"/>
    <w:semiHidden/>
    <w:qFormat/>
    <w:pPr>
      <w:pBdr/>
      <w:spacing/>
      <w:jc w:val="left"/>
    </w:pPr>
    <w:rPr>
      <w:rFonts w:ascii="Calibri" w:hAnsi="Calibri"/>
      <w:sz w:val="20"/>
    </w:rPr>
  </w:style>
  <w:style w:type="paragraph" w:styleId="Heading1">
    <w:name w:val="Heading 1"/>
    <w:basedOn w:val="Normal"/>
    <w:next w:val="Block1"/>
    <w:link w:val="Heading1Char"/>
    <w:uiPriority w:val="1"/>
    <w:qFormat/>
    <w:pPr>
      <w:keepNext/>
      <w:keepLines/>
      <w:pBdr/>
      <w:spacing w:before="120" w:after="240" w:line="276" w:lineRule="auto"/>
      <w:jc w:val="center"/>
      <w:outlineLvl w:val="0"/>
    </w:pPr>
    <w:rPr>
      <w:b/>
      <w:sz w:val="32"/>
      <w:szCs w:val="32"/>
    </w:rPr>
  </w:style>
  <w:style w:type="paragraph" w:styleId="Section" w:customStyle="1">
    <w:name w:val="Section"/>
    <w:basedOn w:val="Heading1"/>
    <w:next w:val="Block1"/>
    <w:uiPriority w:val="1"/>
    <w:qFormat/>
    <w:pPr>
      <w:pBdr/>
      <w:spacing w:before="180" w:after="120"/>
      <w:ind w:left="950" w:hanging="950"/>
      <w:jc w:val="left"/>
      <w:outlineLvl w:val="5"/>
    </w:pPr>
    <w:rPr>
      <w:sz w:val="24"/>
    </w:rPr>
  </w:style>
  <w:style w:type="paragraph" w:styleId="Paragraph1" w:customStyle="1">
    <w:name w:val="Paragraph 1"/>
    <w:basedOn w:val="Normal"/>
    <w:uiPriority w:val="7"/>
    <w:qFormat/>
    <w:pPr>
      <w:pBdr/>
      <w:spacing/>
      <w:ind w:firstLine="475"/>
    </w:pPr>
    <w:rPr/>
  </w:style>
  <w:style w:type="paragraph" w:styleId="Hang1" w:customStyle="1">
    <w:name w:val="Hang 1"/>
    <w:basedOn w:val="Normal"/>
    <w:uiPriority w:val="8"/>
    <w:qFormat/>
    <w:pPr>
      <w:pBdr/>
      <w:spacing/>
      <w:ind w:left="475" w:hanging="475"/>
    </w:pPr>
    <w:rPr/>
  </w:style>
  <w:style w:type="paragraph" w:styleId="List1" w:customStyle="1">
    <w:name w:val="List 1"/>
    <w:basedOn w:val="Hang1"/>
    <w:uiPriority w:val="5"/>
    <w:qFormat/>
    <w:pPr>
      <w:pBdr/>
      <w:spacing/>
    </w:pPr>
    <w:rPr/>
  </w:style>
  <w:style w:type="paragraph" w:styleId="List2">
    <w:name w:val="List 2"/>
    <w:basedOn w:val="List1"/>
    <w:uiPriority w:val="5"/>
    <w:qFormat/>
    <w:pPr>
      <w:pBdr/>
      <w:spacing/>
      <w:ind w:left="950"/>
    </w:pPr>
    <w:rPr/>
  </w:style>
  <w:style w:type="paragraph" w:styleId="List3">
    <w:name w:val="List 3"/>
    <w:basedOn w:val="List2"/>
    <w:uiPriority w:val="5"/>
    <w:unhideWhenUsed/>
    <w:qFormat/>
    <w:pPr>
      <w:pBdr/>
      <w:spacing/>
      <w:ind w:left="1425"/>
    </w:pPr>
    <w:rPr/>
  </w:style>
  <w:style w:type="paragraph" w:styleId="List4">
    <w:name w:val="List 4"/>
    <w:basedOn w:val="List3"/>
    <w:uiPriority w:val="5"/>
    <w:unhideWhenUsed/>
    <w:qFormat/>
    <w:pPr>
      <w:pBdr/>
      <w:spacing/>
      <w:ind w:left="1915"/>
    </w:pPr>
    <w:rPr/>
  </w:style>
  <w:style w:type="table" w:styleId="TableNormal" w:default="1">
    <w:name w:val="Normal Table"/>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 w:customStyle="1">
    <w:name w:val="Table 1"/>
    <w:basedOn w:val="TableNormal"/>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paragraph" w:styleId="Block1" w:customStyle="1">
    <w:name w:val="Block 1"/>
    <w:basedOn w:val="Normal"/>
    <w:uiPriority w:val="3"/>
    <w:qFormat/>
    <w:pPr>
      <w:pBdr/>
      <w:spacing/>
    </w:pPr>
    <w:rPr/>
  </w:style>
  <w:style w:type="paragraph" w:styleId="HistoryNote" w:customStyle="1">
    <w:name w:val="History Note"/>
    <w:basedOn w:val="Block1"/>
    <w:next w:val="Section"/>
    <w:uiPriority w:val="2"/>
    <w:qFormat/>
    <w:pPr>
      <w:pBdr/>
      <w:spacing w:after="240"/>
    </w:pPr>
    <w:rPr/>
  </w:style>
  <w:style w:type="paragraph" w:styleId="HeaderCenter" w:customStyle="1">
    <w:name w:val="Header Center"/>
    <w:basedOn w:val="Normal"/>
    <w:qFormat/>
    <w:pPr>
      <w:pBdr/>
      <w:spacing w:after="40"/>
      <w:jc w:val="center"/>
    </w:pPr>
    <w:rPr/>
  </w:style>
  <w:style w:type="paragraph" w:styleId="FooterLeft" w:customStyle="1">
    <w:name w:val="Footer Left"/>
    <w:basedOn w:val="Normal"/>
    <w:qFormat/>
    <w:pPr>
      <w:pBdr/>
      <w:tabs>
        <w:tab w:val="right" w:pos="9360"/>
      </w:tabs>
      <w:spacing w:after="40"/>
    </w:pPr>
    <w:rPr>
      <w:sz w:val="18"/>
    </w:rPr>
  </w:style>
  <w:style w:type="paragraph" w:styleId="FooterCenter" w:customStyle="1">
    <w:name w:val="Footer Center"/>
    <w:basedOn w:val="FooterLeft"/>
    <w:qFormat/>
    <w:pPr>
      <w:pBdr/>
      <w:spacing/>
      <w:jc w:val="center"/>
    </w:pPr>
    <w:rPr/>
  </w:style>
  <w:style w:type="paragraph" w:styleId="Heading2">
    <w:name w:val="Heading 2"/>
    <w:basedOn w:val="Heading1"/>
    <w:next w:val="Block1"/>
    <w:link w:val="Heading2Char"/>
    <w:uiPriority w:val="1"/>
    <w:qFormat/>
    <w:pPr>
      <w:pBdr/>
      <w:spacing/>
      <w:outlineLvl w:val="1"/>
    </w:pPr>
    <w:rPr>
      <w:rFonts w:eastAsia="Times New Roman"/>
      <w:sz w:val="28"/>
    </w:rPr>
  </w:style>
  <w:style w:type="paragraph" w:styleId="Heading3">
    <w:name w:val="Heading 3"/>
    <w:basedOn w:val="Heading2"/>
    <w:next w:val="Block1"/>
    <w:link w:val="Heading3Char"/>
    <w:uiPriority w:val="1"/>
    <w:qFormat/>
    <w:pPr>
      <w:pBdr/>
      <w:spacing w:after="220"/>
      <w:outlineLvl w:val="2"/>
    </w:pPr>
    <w:rPr>
      <w:rFonts w:eastAsiaTheme="majorEastAsia" w:cstheme="majorBidi"/>
      <w:i/>
      <w:szCs w:val="24"/>
    </w:rPr>
  </w:style>
  <w:style w:type="paragraph" w:styleId="Heading4">
    <w:name w:val="Heading 4"/>
    <w:basedOn w:val="Heading3"/>
    <w:next w:val="Block1"/>
    <w:link w:val="Heading4Char"/>
    <w:uiPriority w:val="1"/>
    <w:qFormat/>
    <w:pPr>
      <w:pBdr/>
      <w:spacing w:after="200"/>
      <w:outlineLvl w:val="3"/>
    </w:pPr>
    <w:rPr>
      <w:b w:val="0"/>
      <w:iCs/>
    </w:rPr>
  </w:style>
  <w:style w:type="paragraph" w:styleId="Heading5">
    <w:name w:val="Heading 5"/>
    <w:basedOn w:val="Heading4"/>
    <w:next w:val="Block1"/>
    <w:link w:val="Heading5Char"/>
    <w:uiPriority w:val="1"/>
    <w:qFormat/>
    <w:pPr>
      <w:pBdr/>
      <w:spacing/>
      <w:outlineLvl w:val="4"/>
    </w:pPr>
    <w:rPr>
      <w:b/>
      <w:i w:val="0"/>
      <w:sz w:val="26"/>
    </w:rPr>
  </w:style>
  <w:style w:type="paragraph" w:styleId="Heading6">
    <w:name w:val="Heading 6"/>
    <w:basedOn w:val="Heading5"/>
    <w:next w:val="Block1"/>
    <w:link w:val="Heading6Char"/>
    <w:uiPriority w:val="1"/>
    <w:qFormat/>
    <w:pPr>
      <w:pBdr/>
      <w:spacing/>
      <w:outlineLvl w:val="5"/>
    </w:pPr>
    <w:rPr>
      <w:i/>
    </w:rPr>
  </w:style>
  <w:style w:type="paragraph" w:styleId="Heading7">
    <w:name w:val="Heading 7"/>
    <w:basedOn w:val="Heading6"/>
    <w:next w:val="Block1"/>
    <w:link w:val="Heading7Char"/>
    <w:uiPriority w:val="1"/>
    <w:pPr>
      <w:pBdr/>
      <w:spacing w:after="180"/>
      <w:outlineLvl w:val="6"/>
    </w:pPr>
    <w:rPr>
      <w:b w:val="0"/>
      <w:iCs w:val="0"/>
    </w:rPr>
  </w:style>
  <w:style w:type="paragraph" w:styleId="Heading8">
    <w:name w:val="Heading 8"/>
    <w:basedOn w:val="Heading7"/>
    <w:next w:val="Block1"/>
    <w:link w:val="Heading8Char"/>
    <w:uiPriority w:val="1"/>
    <w:pPr>
      <w:pBdr/>
      <w:spacing/>
      <w:outlineLvl w:val="7"/>
    </w:pPr>
    <w:rPr>
      <w:b/>
      <w:i w:val="0"/>
      <w:sz w:val="24"/>
      <w:szCs w:val="21"/>
    </w:rPr>
  </w:style>
  <w:style w:type="paragraph" w:styleId="Heading9">
    <w:name w:val="Heading 9"/>
    <w:basedOn w:val="Heading8"/>
    <w:next w:val="Block1"/>
    <w:link w:val="Heading9Char"/>
    <w:uiPriority w:val="1"/>
    <w:pPr>
      <w:pBdr/>
      <w:spacing w:after="160"/>
      <w:outlineLvl w:val="8"/>
    </w:pPr>
    <w:rPr>
      <w:i/>
      <w:iCs/>
    </w:rPr>
  </w:style>
  <w:style w:type="character" w:styleId="DefaultParagraphFont" w:default="1">
    <w:name w:val="Default Paragraph Font"/>
    <w:uiPriority w:val="1"/>
    <w:semiHidden/>
    <w:unhideWhenUsed/>
    <w:rPr/>
  </w:style>
  <w:style w:type="numbering" w:styleId="NoList">
    <w:name w:val="No List"/>
    <w:uiPriority w:val="99"/>
    <w:semiHidden/>
    <w:unhideWhenUsed/>
  </w:style>
  <w:style w:type="character" w:styleId="Heading1Char" w:customStyle="1">
    <w:name w:val="Heading 1 Char"/>
    <w:basedOn w:val="DefaultParagraphFont"/>
    <w:link w:val="Heading1"/>
    <w:uiPriority w:val="1"/>
    <w:rPr>
      <w:rFonts w:ascii="Calibri" w:hAnsi="Calibri"/>
      <w:b/>
      <w:sz w:val="32"/>
      <w:szCs w:val="32"/>
    </w:rPr>
  </w:style>
  <w:style w:type="paragraph" w:styleId="NoSpacing" w:customStyle="1">
    <w:name w:val="No Spacing"/>
    <w:basedOn w:val="Normal"/>
    <w:uiPriority w:val="99"/>
    <w:unhideWhenUsed/>
    <w:pPr>
      <w:pBdr/>
      <w:spacing w:after="0"/>
      <w:contextualSpacing/>
    </w:pPr>
    <w:rPr/>
  </w:style>
  <w:style w:type="character" w:styleId="Heading2Char" w:customStyle="1">
    <w:name w:val="Heading 2 Char"/>
    <w:basedOn w:val="DefaultParagraphFont"/>
    <w:link w:val="Heading2"/>
    <w:uiPriority w:val="1"/>
    <w:rPr>
      <w:rFonts w:asciiTheme="majorHAnsi" w:hAnsiTheme="majorHAnsi" w:eastAsia="Times New Roman"/>
      <w:b/>
      <w:sz w:val="28"/>
      <w:szCs w:val="32"/>
    </w:rPr>
  </w:style>
  <w:style w:type="character" w:styleId="Heading3Char" w:customStyle="1">
    <w:name w:val="Heading 3 Char"/>
    <w:basedOn w:val="DefaultParagraphFont"/>
    <w:link w:val="Heading3"/>
    <w:uiPriority w:val="1"/>
    <w:rPr>
      <w:rFonts w:asciiTheme="majorHAnsi" w:hAnsiTheme="majorHAnsi" w:eastAsiaTheme="majorEastAsia" w:cstheme="majorBidi"/>
      <w:b/>
      <w:i/>
      <w:sz w:val="28"/>
    </w:rPr>
  </w:style>
  <w:style w:type="paragraph" w:styleId="ListParagraph">
    <w:name w:val="List Paragraph"/>
    <w:basedOn w:val="Normal"/>
    <w:uiPriority w:val="98"/>
    <w:semiHidden/>
    <w:qFormat/>
    <w:pPr>
      <w:pBdr/>
      <w:spacing/>
      <w:ind w:left="475" w:hanging="475"/>
    </w:pPr>
    <w:rPr/>
  </w:style>
  <w:style w:type="character" w:styleId="Heading4Char" w:customStyle="1">
    <w:name w:val="Heading 4 Char"/>
    <w:basedOn w:val="DefaultParagraphFont"/>
    <w:link w:val="Heading4"/>
    <w:uiPriority w:val="1"/>
    <w:rPr>
      <w:rFonts w:asciiTheme="majorHAnsi" w:hAnsiTheme="majorHAnsi" w:eastAsiaTheme="majorEastAsia" w:cstheme="majorBidi"/>
      <w:i/>
      <w:iCs/>
      <w:sz w:val="28"/>
    </w:rPr>
  </w:style>
  <w:style w:type="character" w:styleId="Heading5Char" w:customStyle="1">
    <w:name w:val="Heading 5 Char"/>
    <w:basedOn w:val="DefaultParagraphFont"/>
    <w:link w:val="Heading5"/>
    <w:uiPriority w:val="1"/>
    <w:rPr>
      <w:rFonts w:asciiTheme="majorHAnsi" w:hAnsiTheme="majorHAnsi" w:eastAsiaTheme="majorEastAsia" w:cstheme="majorBidi"/>
      <w:b/>
      <w:iCs/>
      <w:sz w:val="26"/>
    </w:rPr>
  </w:style>
  <w:style w:type="paragraph" w:styleId="ListParagraph2" w:customStyle="1">
    <w:name w:val="List Paragraph 2"/>
    <w:basedOn w:val="List1"/>
    <w:uiPriority w:val="98"/>
    <w:semiHidden/>
    <w:unhideWhenUsed/>
    <w:qFormat/>
    <w:pPr>
      <w:pBdr/>
      <w:spacing/>
      <w:ind w:left="950"/>
    </w:pPr>
    <w:rPr/>
  </w:style>
  <w:style w:type="paragraph" w:styleId="FootnoteText">
    <w:name w:val="Footnote Text"/>
    <w:basedOn w:val="Normal"/>
    <w:link w:val="FootnoteTextChar"/>
    <w:uiPriority w:val="99"/>
    <w:unhideWhenUsed/>
    <w:pPr>
      <w:pBdr/>
      <w:spacing w:after="0"/>
    </w:pPr>
    <w:rPr>
      <w:szCs w:val="20"/>
    </w:rPr>
  </w:style>
  <w:style w:type="character" w:styleId="FootnoteTextChar" w:customStyle="1">
    <w:name w:val="Footnote Text Char"/>
    <w:basedOn w:val="DefaultParagraphFont"/>
    <w:link w:val="FootnoteText"/>
    <w:uiPriority w:val="99"/>
    <w:rPr>
      <w:rFonts w:ascii="Calibri" w:hAnsi="Calibri"/>
      <w:sz w:val="20"/>
      <w:szCs w:val="20"/>
    </w:rPr>
  </w:style>
  <w:style w:type="character" w:styleId="FootnoteReference">
    <w:name w:val="Footnote Reference"/>
    <w:basedOn w:val="DefaultParagraphFont"/>
    <w:uiPriority w:val="99"/>
    <w:semiHidden/>
    <w:unhideWhenUsed/>
    <w:rPr>
      <w:vertAlign w:val="superscript"/>
    </w:rPr>
  </w:style>
  <w:style w:type="paragraph" w:styleId="TOC1">
    <w:name w:val="TOC 1"/>
    <w:basedOn w:val="Normal"/>
    <w:next w:val="TOC2"/>
    <w:uiPriority w:val="69"/>
    <w:unhideWhenUsed/>
    <w:qFormat/>
    <w:pPr>
      <w:pBdr/>
      <w:tabs>
        <w:tab w:val="right" w:leader="dot" w:pos="9000"/>
      </w:tabs>
      <w:spacing w:after="60" w:line="276" w:lineRule="auto"/>
      <w:ind w:left="245" w:hanging="245"/>
    </w:pPr>
    <w:rPr/>
  </w:style>
  <w:style w:type="paragraph" w:styleId="TOC2">
    <w:name w:val="TOC 2"/>
    <w:basedOn w:val="TOC1"/>
    <w:next w:val="TOC3"/>
    <w:uiPriority w:val="69"/>
    <w:unhideWhenUsed/>
    <w:qFormat/>
    <w:pPr>
      <w:pBdr/>
      <w:spacing/>
      <w:ind w:left="720"/>
    </w:pPr>
    <w:rPr/>
  </w:style>
  <w:style w:type="paragraph" w:styleId="TOC3">
    <w:name w:val="TOC 3"/>
    <w:basedOn w:val="TOC2"/>
    <w:next w:val="TOC4"/>
    <w:uiPriority w:val="69"/>
    <w:unhideWhenUsed/>
    <w:qFormat/>
    <w:pPr>
      <w:pBdr/>
      <w:spacing/>
      <w:ind w:left="1195"/>
    </w:pPr>
    <w:rPr/>
  </w:style>
  <w:style w:type="paragraph" w:styleId="TOC4">
    <w:name w:val="TOC 4"/>
    <w:basedOn w:val="TOC3"/>
    <w:next w:val="TOC5"/>
    <w:uiPriority w:val="69"/>
    <w:unhideWhenUsed/>
    <w:qFormat/>
    <w:pPr>
      <w:pBdr/>
      <w:spacing/>
      <w:ind w:left="1685"/>
    </w:pPr>
    <w:rPr/>
  </w:style>
  <w:style w:type="paragraph" w:styleId="Index1">
    <w:name w:val="Index 1"/>
    <w:basedOn w:val="TOC1"/>
    <w:next w:val="Index2"/>
    <w:uiPriority w:val="99"/>
    <w:unhideWhenUsed/>
    <w:pPr>
      <w:pBdr/>
      <w:spacing/>
    </w:pPr>
    <w:rPr/>
  </w:style>
  <w:style w:type="paragraph" w:styleId="Index2">
    <w:name w:val="Index 2"/>
    <w:basedOn w:val="TOC2"/>
    <w:next w:val="Index3"/>
    <w:uiPriority w:val="99"/>
    <w:unhideWhenUsed/>
    <w:pPr>
      <w:pBdr/>
      <w:spacing/>
    </w:pPr>
    <w:rPr/>
  </w:style>
  <w:style w:type="paragraph" w:styleId="Index3">
    <w:name w:val="Index 3"/>
    <w:basedOn w:val="TOC3"/>
    <w:next w:val="Index4"/>
    <w:uiPriority w:val="99"/>
    <w:unhideWhenUsed/>
    <w:pPr>
      <w:pBdr/>
      <w:spacing/>
    </w:pPr>
    <w:rPr/>
  </w:style>
  <w:style w:type="paragraph" w:styleId="Index4">
    <w:name w:val="Index 4"/>
    <w:basedOn w:val="TOC4"/>
    <w:next w:val="Index6"/>
    <w:uiPriority w:val="99"/>
    <w:unhideWhenUsed/>
    <w:pPr>
      <w:pBdr/>
      <w:spacing/>
    </w:pPr>
    <w:rPr/>
  </w:style>
  <w:style w:type="paragraph" w:styleId="TOC5">
    <w:name w:val="TOC 5"/>
    <w:basedOn w:val="TOC4"/>
    <w:next w:val="TOC6"/>
    <w:uiPriority w:val="69"/>
    <w:unhideWhenUsed/>
    <w:qFormat/>
    <w:pPr>
      <w:pBdr/>
      <w:spacing/>
      <w:ind w:left="2160"/>
    </w:pPr>
    <w:rPr/>
  </w:style>
  <w:style w:type="paragraph" w:styleId="Index5">
    <w:name w:val="Index 5"/>
    <w:basedOn w:val="TOC5"/>
    <w:next w:val="Index6"/>
    <w:uiPriority w:val="99"/>
    <w:unhideWhenUsed/>
    <w:pPr>
      <w:pBdr/>
      <w:spacing/>
    </w:pPr>
    <w:rPr/>
  </w:style>
  <w:style w:type="paragraph" w:styleId="TOC6">
    <w:name w:val="TOC 6"/>
    <w:basedOn w:val="TOC5"/>
    <w:uiPriority w:val="69"/>
    <w:unhideWhenUsed/>
    <w:qFormat/>
    <w:pPr>
      <w:pBdr/>
      <w:spacing/>
      <w:ind w:left="2635"/>
    </w:pPr>
    <w:rPr/>
  </w:style>
  <w:style w:type="paragraph" w:styleId="Index6">
    <w:name w:val="Index 6"/>
    <w:basedOn w:val="TOC6"/>
    <w:next w:val="Index7"/>
    <w:uiPriority w:val="99"/>
    <w:unhideWhenUsed/>
    <w:pPr>
      <w:pBdr/>
      <w:spacing/>
    </w:pPr>
    <w:rPr/>
  </w:style>
  <w:style w:type="paragraph" w:styleId="TOC7">
    <w:name w:val="TOC 7"/>
    <w:basedOn w:val="TOC6"/>
    <w:next w:val="TOC8"/>
    <w:uiPriority w:val="69"/>
    <w:unhideWhenUsed/>
    <w:qFormat/>
    <w:pPr>
      <w:pBdr/>
      <w:spacing/>
      <w:ind w:left="3125"/>
    </w:pPr>
    <w:rPr/>
  </w:style>
  <w:style w:type="paragraph" w:styleId="Index7">
    <w:name w:val="Index 7"/>
    <w:basedOn w:val="TOC7"/>
    <w:next w:val="Index8"/>
    <w:uiPriority w:val="99"/>
    <w:unhideWhenUsed/>
    <w:pPr>
      <w:pBdr/>
      <w:spacing/>
    </w:pPr>
    <w:rPr/>
  </w:style>
  <w:style w:type="paragraph" w:styleId="TOC8">
    <w:name w:val="TOC 8"/>
    <w:basedOn w:val="TOC7"/>
    <w:next w:val="TOC9"/>
    <w:uiPriority w:val="69"/>
    <w:unhideWhenUsed/>
    <w:qFormat/>
    <w:pPr>
      <w:pBdr/>
      <w:spacing/>
      <w:ind w:left="3600"/>
    </w:pPr>
    <w:rPr/>
  </w:style>
  <w:style w:type="paragraph" w:styleId="Index8">
    <w:name w:val="Index 8"/>
    <w:basedOn w:val="TOC8"/>
    <w:next w:val="Index9"/>
    <w:uiPriority w:val="99"/>
    <w:unhideWhenUsed/>
    <w:pPr>
      <w:pBdr/>
      <w:spacing/>
    </w:pPr>
    <w:rPr/>
  </w:style>
  <w:style w:type="paragraph" w:styleId="TOC9">
    <w:name w:val="TOC 9"/>
    <w:basedOn w:val="TOC8"/>
    <w:uiPriority w:val="69"/>
    <w:unhideWhenUsed/>
    <w:qFormat/>
    <w:pPr>
      <w:pBdr/>
      <w:spacing/>
      <w:ind w:left="4075"/>
    </w:pPr>
    <w:rPr/>
  </w:style>
  <w:style w:type="paragraph" w:styleId="Index9">
    <w:name w:val="Index 9"/>
    <w:basedOn w:val="TOC9"/>
    <w:uiPriority w:val="99"/>
    <w:unhideWhenUsed/>
    <w:pPr>
      <w:pBdr/>
      <w:spacing/>
    </w:pPr>
    <w:rPr/>
  </w:style>
  <w:style w:type="paragraph" w:styleId="NormalWeb">
    <w:name w:val="Normal (Web)"/>
    <w:basedOn w:val="Normal"/>
    <w:uiPriority w:val="99"/>
    <w:semiHidden/>
    <w:unhideWhenUsed/>
    <w:pPr>
      <w:pBdr/>
      <w:spacing w:before="100" w:beforeAutospacing="1" w:after="100" w:afterAutospacing="1"/>
    </w:pPr>
    <w:rPr>
      <w:rFonts w:ascii="Verdana" w:hAnsi="Verdana" w:eastAsia="Times New Roman" w:cs="Times New Roman"/>
    </w:rPr>
  </w:style>
  <w:style w:type="paragraph" w:styleId="Title">
    <w:name w:val="Title"/>
    <w:basedOn w:val="Normal"/>
    <w:next w:val="Normal"/>
    <w:link w:val="TitleChar"/>
    <w:unhideWhenUsed/>
    <w:pPr>
      <w:pBdr/>
      <w:spacing w:after="0" w:line="480" w:lineRule="auto"/>
      <w:contextualSpacing/>
      <w:jc w:val="center"/>
      <w:outlineLvl w:val="0"/>
    </w:pPr>
    <w:rPr>
      <w:rFonts w:eastAsiaTheme="majorEastAsia" w:cstheme="majorBidi"/>
      <w:b/>
      <w:spacing w:val="-10"/>
      <w:kern w:val="28"/>
      <w:sz w:val="52"/>
      <w:szCs w:val="56"/>
    </w:rPr>
  </w:style>
  <w:style w:type="character" w:styleId="TitleChar" w:customStyle="1">
    <w:name w:val="Title Char"/>
    <w:basedOn w:val="DefaultParagraphFont"/>
    <w:link w:val="Title"/>
    <w:rPr>
      <w:rFonts w:ascii="Calibri" w:hAnsi="Calibri" w:eastAsiaTheme="majorEastAsia" w:cstheme="majorBidi"/>
      <w:b/>
      <w:spacing w:val="-10"/>
      <w:kern w:val="28"/>
      <w:sz w:val="52"/>
      <w:szCs w:val="56"/>
    </w:rPr>
  </w:style>
  <w:style w:type="paragraph" w:styleId="ReferenceNote" w:customStyle="1">
    <w:name w:val="Reference Note"/>
    <w:basedOn w:val="Block1"/>
    <w:next w:val="Block1"/>
    <w:uiPriority w:val="2"/>
    <w:qFormat/>
    <w:pPr>
      <w:pBdr/>
      <w:spacing/>
    </w:pPr>
    <w:rPr/>
  </w:style>
  <w:style w:type="paragraph" w:styleId="Block2" w:customStyle="1">
    <w:name w:val="Block 2"/>
    <w:basedOn w:val="Block1"/>
    <w:uiPriority w:val="3"/>
    <w:unhideWhenUsed/>
    <w:qFormat/>
    <w:pPr>
      <w:pBdr/>
      <w:spacing/>
      <w:ind w:left="475"/>
    </w:pPr>
    <w:rPr/>
  </w:style>
  <w:style w:type="paragraph" w:styleId="Block3" w:customStyle="1">
    <w:name w:val="Block 3"/>
    <w:basedOn w:val="Block2"/>
    <w:uiPriority w:val="3"/>
    <w:unhideWhenUsed/>
    <w:qFormat/>
    <w:pPr>
      <w:pBdr/>
      <w:spacing/>
      <w:ind w:left="950"/>
    </w:pPr>
    <w:rPr/>
  </w:style>
  <w:style w:type="paragraph" w:styleId="Block4" w:customStyle="1">
    <w:name w:val="Block 4"/>
    <w:basedOn w:val="Block3"/>
    <w:uiPriority w:val="3"/>
    <w:unhideWhenUsed/>
    <w:qFormat/>
    <w:pPr>
      <w:pBdr/>
      <w:spacing/>
      <w:ind w:left="1440"/>
    </w:pPr>
    <w:rPr/>
  </w:style>
  <w:style w:type="paragraph" w:styleId="Block5" w:customStyle="1">
    <w:name w:val="Block 5"/>
    <w:basedOn w:val="Block4"/>
    <w:uiPriority w:val="3"/>
    <w:unhideWhenUsed/>
    <w:qFormat/>
    <w:pPr>
      <w:pBdr/>
      <w:spacing/>
      <w:ind w:left="1915"/>
    </w:pPr>
    <w:rPr/>
  </w:style>
  <w:style w:type="paragraph" w:styleId="Block6" w:customStyle="1">
    <w:name w:val="Block 6"/>
    <w:basedOn w:val="Block5"/>
    <w:uiPriority w:val="3"/>
    <w:unhideWhenUsed/>
    <w:pPr>
      <w:pBdr/>
      <w:spacing/>
      <w:ind w:left="2390"/>
    </w:pPr>
    <w:rPr/>
  </w:style>
  <w:style w:type="paragraph" w:styleId="Block7" w:customStyle="1">
    <w:name w:val="Block 7"/>
    <w:basedOn w:val="Block6"/>
    <w:uiPriority w:val="3"/>
    <w:unhideWhenUsed/>
    <w:pPr>
      <w:pBdr/>
      <w:spacing/>
      <w:ind w:left="2880"/>
    </w:pPr>
    <w:rPr/>
  </w:style>
  <w:style w:type="paragraph" w:styleId="Block8" w:customStyle="1">
    <w:name w:val="Block 8"/>
    <w:basedOn w:val="Block7"/>
    <w:uiPriority w:val="3"/>
    <w:unhideWhenUsed/>
    <w:pPr>
      <w:pBdr/>
      <w:spacing/>
      <w:ind w:left="3355"/>
    </w:pPr>
    <w:rPr/>
  </w:style>
  <w:style w:type="paragraph" w:styleId="Block9" w:customStyle="1">
    <w:name w:val="Block 9"/>
    <w:basedOn w:val="Block8"/>
    <w:uiPriority w:val="3"/>
    <w:unhideWhenUsed/>
    <w:pPr>
      <w:pBdr/>
      <w:spacing/>
      <w:ind w:left="3830"/>
    </w:pPr>
    <w:rPr/>
  </w:style>
  <w:style w:type="paragraph" w:styleId="List5">
    <w:name w:val="List 5"/>
    <w:basedOn w:val="List4"/>
    <w:uiPriority w:val="5"/>
    <w:unhideWhenUsed/>
    <w:qFormat/>
    <w:pPr>
      <w:pBdr/>
      <w:spacing/>
      <w:ind w:left="2865"/>
    </w:pPr>
    <w:rPr/>
  </w:style>
  <w:style w:type="paragraph" w:styleId="List6" w:customStyle="1">
    <w:name w:val="List 6"/>
    <w:basedOn w:val="List5"/>
    <w:uiPriority w:val="5"/>
    <w:unhideWhenUsed/>
    <w:pPr>
      <w:pBdr/>
      <w:spacing/>
      <w:ind w:left="3355"/>
    </w:pPr>
    <w:rPr/>
  </w:style>
  <w:style w:type="paragraph" w:styleId="List7" w:customStyle="1">
    <w:name w:val="List 7"/>
    <w:basedOn w:val="List6"/>
    <w:uiPriority w:val="5"/>
    <w:unhideWhenUsed/>
    <w:pPr>
      <w:pBdr/>
      <w:spacing/>
      <w:ind w:left="3830"/>
    </w:pPr>
    <w:rPr/>
  </w:style>
  <w:style w:type="paragraph" w:styleId="List8" w:customStyle="1">
    <w:name w:val="List 8"/>
    <w:basedOn w:val="List7"/>
    <w:uiPriority w:val="5"/>
    <w:unhideWhenUsed/>
    <w:pPr>
      <w:pBdr/>
      <w:spacing/>
      <w:ind w:left="4305"/>
    </w:pPr>
    <w:rPr/>
  </w:style>
  <w:style w:type="paragraph" w:styleId="List9" w:customStyle="1">
    <w:name w:val="List 9"/>
    <w:basedOn w:val="List8"/>
    <w:uiPriority w:val="5"/>
    <w:unhideWhenUsed/>
    <w:pPr>
      <w:pBdr/>
      <w:spacing/>
      <w:ind w:left="4795"/>
    </w:pPr>
    <w:rPr/>
  </w:style>
  <w:style w:type="paragraph" w:styleId="Hang2" w:customStyle="1">
    <w:name w:val="Hang 2"/>
    <w:basedOn w:val="Hang1"/>
    <w:uiPriority w:val="8"/>
    <w:unhideWhenUsed/>
    <w:qFormat/>
    <w:pPr>
      <w:pBdr/>
      <w:spacing/>
      <w:ind w:left="950"/>
    </w:pPr>
    <w:rPr/>
  </w:style>
  <w:style w:type="paragraph" w:styleId="Hang3" w:customStyle="1">
    <w:name w:val="Hang 3"/>
    <w:basedOn w:val="Hang2"/>
    <w:uiPriority w:val="8"/>
    <w:unhideWhenUsed/>
    <w:qFormat/>
    <w:pPr>
      <w:pBdr/>
      <w:spacing/>
      <w:ind w:left="1425"/>
    </w:pPr>
    <w:rPr/>
  </w:style>
  <w:style w:type="paragraph" w:styleId="Hang4" w:customStyle="1">
    <w:name w:val="Hang 4"/>
    <w:basedOn w:val="Hang3"/>
    <w:uiPriority w:val="8"/>
    <w:unhideWhenUsed/>
    <w:qFormat/>
    <w:pPr>
      <w:pBdr/>
      <w:spacing/>
      <w:ind w:left="1915"/>
    </w:pPr>
    <w:rPr/>
  </w:style>
  <w:style w:type="paragraph" w:styleId="Hang5" w:customStyle="1">
    <w:name w:val="Hang 5"/>
    <w:basedOn w:val="Hang4"/>
    <w:uiPriority w:val="8"/>
    <w:unhideWhenUsed/>
    <w:qFormat/>
    <w:pPr>
      <w:pBdr/>
      <w:spacing/>
      <w:ind w:left="2390"/>
    </w:pPr>
    <w:rPr/>
  </w:style>
  <w:style w:type="paragraph" w:styleId="Hang6" w:customStyle="1">
    <w:name w:val="Hang 6"/>
    <w:basedOn w:val="Hang5"/>
    <w:uiPriority w:val="8"/>
    <w:unhideWhenUsed/>
    <w:pPr>
      <w:pBdr/>
      <w:spacing/>
      <w:ind w:left="2865"/>
    </w:pPr>
    <w:rPr/>
  </w:style>
  <w:style w:type="paragraph" w:styleId="Hang7" w:customStyle="1">
    <w:name w:val="Hang 7"/>
    <w:basedOn w:val="Hang6"/>
    <w:uiPriority w:val="8"/>
    <w:unhideWhenUsed/>
    <w:pPr>
      <w:pBdr/>
      <w:spacing/>
      <w:ind w:left="3355"/>
    </w:pPr>
    <w:rPr/>
  </w:style>
  <w:style w:type="paragraph" w:styleId="Hang8" w:customStyle="1">
    <w:name w:val="Hang 8"/>
    <w:basedOn w:val="Hang7"/>
    <w:uiPriority w:val="8"/>
    <w:unhideWhenUsed/>
    <w:pPr>
      <w:pBdr/>
      <w:spacing/>
      <w:ind w:left="3830"/>
    </w:pPr>
    <w:rPr/>
  </w:style>
  <w:style w:type="paragraph" w:styleId="Hang9" w:customStyle="1">
    <w:name w:val="Hang 9"/>
    <w:basedOn w:val="Hang8"/>
    <w:uiPriority w:val="8"/>
    <w:unhideWhenUsed/>
    <w:pPr>
      <w:pBdr/>
      <w:spacing/>
      <w:ind w:left="4305"/>
    </w:pPr>
    <w:rPr/>
  </w:style>
  <w:style w:type="paragraph" w:styleId="Paragraph2" w:customStyle="1">
    <w:name w:val="Paragraph 2"/>
    <w:basedOn w:val="Paragraph1"/>
    <w:uiPriority w:val="7"/>
    <w:unhideWhenUsed/>
    <w:qFormat/>
    <w:pPr>
      <w:pBdr/>
      <w:spacing/>
      <w:ind w:left="475"/>
    </w:pPr>
    <w:rPr/>
  </w:style>
  <w:style w:type="paragraph" w:styleId="Paragraph3" w:customStyle="1">
    <w:name w:val="Paragraph 3"/>
    <w:basedOn w:val="Paragraph2"/>
    <w:uiPriority w:val="7"/>
    <w:unhideWhenUsed/>
    <w:qFormat/>
    <w:pPr>
      <w:pBdr/>
      <w:spacing/>
      <w:ind w:left="950"/>
    </w:pPr>
    <w:rPr/>
  </w:style>
  <w:style w:type="paragraph" w:styleId="Paragraph4" w:customStyle="1">
    <w:name w:val="Paragraph 4"/>
    <w:basedOn w:val="Paragraph3"/>
    <w:uiPriority w:val="7"/>
    <w:unhideWhenUsed/>
    <w:qFormat/>
    <w:pPr>
      <w:pBdr/>
      <w:spacing/>
      <w:ind w:left="1440"/>
    </w:pPr>
    <w:rPr/>
  </w:style>
  <w:style w:type="paragraph" w:styleId="Paragraph5" w:customStyle="1">
    <w:name w:val="Paragraph 5"/>
    <w:basedOn w:val="Paragraph4"/>
    <w:uiPriority w:val="7"/>
    <w:unhideWhenUsed/>
    <w:qFormat/>
    <w:pPr>
      <w:pBdr/>
      <w:spacing/>
      <w:ind w:left="1915"/>
    </w:pPr>
    <w:rPr/>
  </w:style>
  <w:style w:type="paragraph" w:styleId="Paragraph6" w:customStyle="1">
    <w:name w:val="Paragraph 6"/>
    <w:basedOn w:val="Paragraph5"/>
    <w:uiPriority w:val="7"/>
    <w:unhideWhenUsed/>
    <w:pPr>
      <w:pBdr/>
      <w:spacing/>
      <w:ind w:left="2880"/>
    </w:pPr>
    <w:rPr/>
  </w:style>
  <w:style w:type="paragraph" w:styleId="Paragraph7" w:customStyle="1">
    <w:name w:val="Paragraph 7"/>
    <w:basedOn w:val="Paragraph6"/>
    <w:uiPriority w:val="7"/>
    <w:unhideWhenUsed/>
    <w:pPr>
      <w:pBdr/>
      <w:spacing/>
      <w:ind w:left="3355"/>
    </w:pPr>
    <w:rPr/>
  </w:style>
  <w:style w:type="paragraph" w:styleId="Paragraph8" w:customStyle="1">
    <w:name w:val="Paragraph 8"/>
    <w:basedOn w:val="Paragraph7"/>
    <w:uiPriority w:val="7"/>
    <w:unhideWhenUsed/>
    <w:pPr>
      <w:pBdr/>
      <w:spacing/>
      <w:ind w:left="3830"/>
    </w:pPr>
    <w:rPr/>
  </w:style>
  <w:style w:type="paragraph" w:styleId="Paragraph9" w:customStyle="1">
    <w:name w:val="Paragraph 9"/>
    <w:basedOn w:val="Paragraph8"/>
    <w:uiPriority w:val="7"/>
    <w:unhideWhenUsed/>
    <w:pPr>
      <w:pBdr/>
      <w:spacing/>
      <w:ind w:left="4320"/>
    </w:pPr>
    <w:rPr/>
  </w:style>
  <w:style w:type="character" w:styleId="Heading6Char" w:customStyle="1">
    <w:name w:val="Heading 6 Char"/>
    <w:basedOn w:val="DefaultParagraphFont"/>
    <w:link w:val="Heading6"/>
    <w:uiPriority w:val="1"/>
    <w:rPr>
      <w:rFonts w:asciiTheme="majorHAnsi" w:hAnsiTheme="majorHAnsi" w:eastAsiaTheme="majorEastAsia" w:cstheme="majorBidi"/>
      <w:b/>
      <w:i/>
      <w:iCs/>
      <w:sz w:val="26"/>
    </w:rPr>
  </w:style>
  <w:style w:type="character" w:styleId="Heading8Char" w:customStyle="1">
    <w:name w:val="Heading 8 Char"/>
    <w:basedOn w:val="DefaultParagraphFont"/>
    <w:link w:val="Heading8"/>
    <w:uiPriority w:val="1"/>
    <w:rPr>
      <w:rFonts w:ascii="Calibri" w:hAnsi="Calibri" w:eastAsiaTheme="majorEastAsia" w:cstheme="majorBidi"/>
      <w:b/>
      <w:szCs w:val="21"/>
    </w:rPr>
  </w:style>
  <w:style w:type="character" w:styleId="Heading7Char" w:customStyle="1">
    <w:name w:val="Heading 7 Char"/>
    <w:basedOn w:val="DefaultParagraphFont"/>
    <w:link w:val="Heading7"/>
    <w:uiPriority w:val="1"/>
    <w:rPr>
      <w:rFonts w:asciiTheme="majorHAnsi" w:hAnsiTheme="majorHAnsi" w:eastAsiaTheme="majorEastAsia" w:cstheme="majorBidi"/>
      <w:i/>
      <w:sz w:val="26"/>
    </w:rPr>
  </w:style>
  <w:style w:type="character" w:styleId="Heading9Char" w:customStyle="1">
    <w:name w:val="Heading 9 Char"/>
    <w:basedOn w:val="DefaultParagraphFont"/>
    <w:link w:val="Heading9"/>
    <w:uiPriority w:val="1"/>
    <w:rPr>
      <w:rFonts w:ascii="Calibri" w:hAnsi="Calibri" w:eastAsiaTheme="majorEastAsia" w:cstheme="majorBidi"/>
      <w:b/>
      <w:i/>
      <w:iCs/>
      <w:szCs w:val="21"/>
    </w:rPr>
  </w:style>
  <w:style w:type="paragraph" w:styleId="Subsect1" w:customStyle="1">
    <w:name w:val="Subsect 1"/>
    <w:basedOn w:val="Section"/>
    <w:next w:val="Block1"/>
    <w:uiPriority w:val="1"/>
    <w:qFormat/>
    <w:pPr>
      <w:pBdr/>
      <w:spacing/>
      <w:outlineLvl w:val="6"/>
    </w:pPr>
    <w:rPr>
      <w:u w:val="single"/>
    </w:rPr>
  </w:style>
  <w:style w:type="paragraph" w:styleId="Subsect2" w:customStyle="1">
    <w:name w:val="Subsect 2"/>
    <w:basedOn w:val="Subsect1"/>
    <w:next w:val="Block1"/>
    <w:uiPriority w:val="1"/>
    <w:qFormat/>
    <w:pPr>
      <w:pBdr/>
      <w:spacing/>
      <w:outlineLvl w:val="7"/>
    </w:pPr>
    <w:rPr>
      <w:i/>
    </w:rPr>
  </w:style>
  <w:style w:type="paragraph" w:styleId="Subsect3" w:customStyle="1">
    <w:name w:val="Subsect 3"/>
    <w:basedOn w:val="Subsect2"/>
    <w:next w:val="Block1"/>
    <w:uiPriority w:val="1"/>
    <w:qFormat/>
    <w:pPr>
      <w:pBdr/>
      <w:spacing/>
      <w:outlineLvl w:val="8"/>
    </w:pPr>
    <w:rPr>
      <w:b w:val="0"/>
      <w:i w:val="0"/>
    </w:rPr>
  </w:style>
  <w:style w:type="table" w:styleId="NormalTable_92f4b0ab-9c29-46fb-99ee-719779e198f8" w:customStyle="1">
    <w:name w:val="Normal Table_92f4b0ab-9c29-46fb-99ee-719779e198f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Grid">
    <w:name w:val="Table Grid"/>
    <w:basedOn w:val="NormalTable_92f4b0ab-9c29-46fb-99ee-719779e198f8"/>
    <w:uiPriority w:val="39"/>
    <w:pPr>
      <w:pBdr/>
      <w:spacing w:before="0" w:after="0"/>
    </w:pP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tcMar/>
      <w:vAlign w:val="top"/>
    </w:tcPr>
  </w:style>
  <w:style w:type="paragraph" w:styleId="ImageCaptionBelowLeft" w:customStyle="1">
    <w:name w:val="Image Caption Below Left"/>
    <w:basedOn w:val="Block1"/>
    <w:next w:val="Block1"/>
    <w:qFormat/>
    <w:pPr>
      <w:widowControl w:val="false"/>
      <w:pBdr/>
      <w:spacing/>
    </w:pPr>
    <w:rPr>
      <w:b/>
    </w:rPr>
  </w:style>
  <w:style w:type="paragraph" w:styleId="ImageCaptionBelowCenter" w:customStyle="1">
    <w:name w:val="Image Caption Below Center"/>
    <w:basedOn w:val="ImageCaptionBelowLeft"/>
    <w:next w:val="Block1"/>
    <w:pPr>
      <w:pBdr/>
      <w:spacing/>
      <w:jc w:val="center"/>
    </w:pPr>
    <w:rPr/>
  </w:style>
  <w:style w:type="paragraph" w:styleId="ImageLeft" w:customStyle="1">
    <w:name w:val="Image Left"/>
    <w:next w:val="Block1"/>
    <w:qFormat/>
    <w:pPr>
      <w:pBdr/>
      <w:spacing/>
      <w:jc w:val="left"/>
    </w:pPr>
    <w:rPr>
      <w:rFonts w:ascii="Calibri" w:hAnsi="Calibri"/>
    </w:rPr>
  </w:style>
  <w:style w:type="paragraph" w:styleId="ImageCenter" w:customStyle="1">
    <w:name w:val="Image Center"/>
    <w:basedOn w:val="ImageLeft"/>
    <w:next w:val="Block1"/>
    <w:qFormat/>
    <w:pPr>
      <w:pBdr/>
      <w:spacing/>
      <w:jc w:val="center"/>
    </w:pPr>
    <w:rPr/>
  </w:style>
  <w:style w:type="paragraph" w:styleId="ImageCaptionAboveLeft" w:customStyle="1">
    <w:name w:val="Image Caption Above Left"/>
    <w:basedOn w:val="Block1"/>
    <w:next w:val="Block1"/>
    <w:qFormat/>
    <w:pPr>
      <w:keepNext/>
      <w:pBdr/>
      <w:spacing/>
    </w:pPr>
    <w:rPr>
      <w:b/>
    </w:rPr>
  </w:style>
  <w:style w:type="paragraph" w:styleId="ImageCaptionBelowRight" w:customStyle="1">
    <w:name w:val="Image Caption Below Right"/>
    <w:basedOn w:val="ImageCaptionBelowLeft"/>
    <w:next w:val="Block1"/>
    <w:qFormat/>
    <w:pPr>
      <w:pBdr/>
      <w:spacing/>
      <w:jc w:val="right"/>
    </w:pPr>
    <w:rPr/>
  </w:style>
  <w:style w:type="paragraph" w:styleId="ImageRight" w:customStyle="1">
    <w:name w:val="Image Right"/>
    <w:basedOn w:val="ImageLeft"/>
    <w:next w:val="Block1"/>
    <w:qFormat/>
    <w:pPr>
      <w:pBdr/>
      <w:spacing/>
      <w:jc w:val="right"/>
    </w:pPr>
    <w:rPr/>
  </w:style>
  <w:style w:type="character" w:styleId="Hyperlink">
    <w:name w:val="Hyperlink"/>
    <w:basedOn w:val="DefaultParagraphFont"/>
    <w:uiPriority w:val="99"/>
    <w:unhideWhenUsed/>
    <w:rPr>
      <w:color w:val="4472C4"/>
      <w:u w:val="none"/>
    </w:rPr>
  </w:style>
  <w:style w:type="paragraph" w:styleId="BlockCenter" w:customStyle="1">
    <w:name w:val="Block Center"/>
    <w:basedOn w:val="Block1"/>
    <w:qFormat/>
    <w:pPr>
      <w:pBdr/>
      <w:spacing/>
      <w:jc w:val="center"/>
    </w:pPr>
    <w:rPr/>
  </w:style>
  <w:style w:type="paragraph" w:styleId="BodyText">
    <w:name w:val="Body Text"/>
    <w:basedOn w:val="Normal"/>
    <w:link w:val="BodyTextChar"/>
    <w:uiPriority w:val="99"/>
    <w:semiHidden/>
    <w:pPr>
      <w:pBdr/>
      <w:spacing/>
    </w:pPr>
    <w:rPr/>
  </w:style>
  <w:style w:type="character" w:styleId="BodyTextChar" w:customStyle="1">
    <w:name w:val="Body Text Char"/>
    <w:basedOn w:val="DefaultParagraphFont"/>
    <w:link w:val="BodyText"/>
    <w:uiPriority w:val="99"/>
    <w:semiHidden/>
    <w:rPr>
      <w:rFonts w:ascii="Calibri" w:hAnsi="Calibri"/>
      <w:sz w:val="20"/>
    </w:rPr>
  </w:style>
  <w:style w:type="paragraph" w:styleId="List">
    <w:name w:val="List"/>
    <w:basedOn w:val="Normal"/>
    <w:uiPriority w:val="99"/>
    <w:semiHidden/>
    <w:unhideWhenUsed/>
    <w:pPr>
      <w:pBdr/>
      <w:spacing/>
      <w:ind w:left="360" w:hanging="360"/>
      <w:contextualSpacing/>
    </w:pPr>
    <w:rPr/>
  </w:style>
  <w:style w:type="paragraph" w:styleId="ListBullet">
    <w:name w:val="List Bullet"/>
    <w:basedOn w:val="Normal"/>
    <w:uiPriority w:val="99"/>
    <w:semiHidden/>
    <w:unhideWhenUsed/>
    <w:qFormat/>
    <w:numPr>
      <w:numId w:val="1"/>
    </w:numPr>
    <w:pPr>
      <w:numPr>
        <w:numId w:val="1"/>
      </w:numPr>
      <w:pBdr/>
      <w:spacing/>
      <w:contextualSpacing/>
    </w:pPr>
    <w:rPr/>
  </w:style>
  <w:style w:type="paragraph" w:styleId="ListContinue">
    <w:name w:val="List Continue"/>
    <w:basedOn w:val="Normal"/>
    <w:uiPriority w:val="99"/>
    <w:semiHidden/>
    <w:unhideWhenUsed/>
    <w:pPr>
      <w:pBdr/>
      <w:spacing/>
      <w:ind w:left="360"/>
      <w:contextualSpacing/>
    </w:pPr>
    <w:rPr/>
  </w:style>
  <w:style w:type="paragraph" w:styleId="Block1Center" w:customStyle="1">
    <w:name w:val="Block 1 Center"/>
    <w:basedOn w:val="Block1"/>
    <w:qFormat/>
    <w:pPr>
      <w:pBdr/>
      <w:spacing/>
      <w:jc w:val="center"/>
    </w:pPr>
    <w:rPr/>
  </w:style>
  <w:style w:type="paragraph" w:styleId="Block2Center" w:customStyle="1">
    <w:name w:val="Block 2 Center"/>
    <w:basedOn w:val="Block2"/>
    <w:qFormat/>
    <w:pPr>
      <w:pBdr/>
      <w:spacing/>
      <w:jc w:val="center"/>
    </w:pPr>
    <w:rPr/>
  </w:style>
  <w:style w:type="paragraph" w:styleId="Block3Center" w:customStyle="1">
    <w:name w:val="Block 3 Center"/>
    <w:basedOn w:val="Block3"/>
    <w:qFormat/>
    <w:pPr>
      <w:pBdr/>
      <w:spacing/>
      <w:jc w:val="center"/>
    </w:pPr>
    <w:rPr/>
  </w:style>
  <w:style w:type="paragraph" w:styleId="Block4Center" w:customStyle="1">
    <w:name w:val="Block 4 Center"/>
    <w:basedOn w:val="Block4"/>
    <w:qFormat/>
    <w:pPr>
      <w:pBdr/>
      <w:spacing/>
      <w:jc w:val="center"/>
    </w:pPr>
    <w:rPr/>
  </w:style>
  <w:style w:type="paragraph" w:styleId="Block5Center" w:customStyle="1">
    <w:name w:val="Block 5 Center"/>
    <w:basedOn w:val="Block5"/>
    <w:qFormat/>
    <w:pPr>
      <w:pBdr/>
      <w:spacing/>
      <w:jc w:val="center"/>
    </w:pPr>
    <w:rPr/>
  </w:style>
  <w:style w:type="paragraph" w:styleId="Block6Center" w:customStyle="1">
    <w:name w:val="Block 6 Center"/>
    <w:basedOn w:val="Block6"/>
    <w:qFormat/>
    <w:pPr>
      <w:pBdr/>
      <w:spacing/>
      <w:jc w:val="center"/>
    </w:pPr>
    <w:rPr/>
  </w:style>
  <w:style w:type="paragraph" w:styleId="Block7Center" w:customStyle="1">
    <w:name w:val="Block 7 Center"/>
    <w:basedOn w:val="Block7"/>
    <w:qFormat/>
    <w:pPr>
      <w:pBdr/>
      <w:spacing/>
      <w:jc w:val="center"/>
    </w:pPr>
    <w:rPr/>
  </w:style>
  <w:style w:type="paragraph" w:styleId="Block8Center" w:customStyle="1">
    <w:name w:val="Block 8 Center"/>
    <w:basedOn w:val="Block8"/>
    <w:qFormat/>
    <w:pPr>
      <w:pBdr/>
      <w:spacing/>
      <w:jc w:val="center"/>
    </w:pPr>
    <w:rPr/>
  </w:style>
  <w:style w:type="paragraph" w:styleId="Block9Center" w:customStyle="1">
    <w:name w:val="Block 9 Center"/>
    <w:basedOn w:val="Block9"/>
    <w:qFormat/>
    <w:pPr>
      <w:pBdr/>
      <w:spacing/>
      <w:jc w:val="center"/>
    </w:pPr>
    <w:rPr/>
  </w:style>
  <w:style w:type="paragraph" w:styleId="ListNumber">
    <w:name w:val="List Number"/>
    <w:basedOn w:val="Normal"/>
    <w:uiPriority w:val="99"/>
    <w:semiHidden/>
    <w:unhideWhenUsed/>
    <w:numPr>
      <w:numId w:val="2"/>
    </w:numPr>
    <w:pPr>
      <w:numPr>
        <w:numId w:val="2"/>
      </w:numPr>
      <w:pBdr/>
      <w:spacing/>
      <w:contextualSpacing/>
    </w:pPr>
    <w:rPr/>
  </w:style>
  <w:style w:type="paragraph" w:styleId="TableofFigures">
    <w:name w:val="Table of Figures"/>
    <w:basedOn w:val="Normal"/>
    <w:next w:val="Normal"/>
    <w:uiPriority w:val="99"/>
    <w:semiHidden/>
    <w:unhideWhenUsed/>
    <w:pPr>
      <w:pBdr/>
      <w:spacing w:after="0"/>
    </w:pPr>
    <w:rPr/>
  </w:style>
  <w:style w:type="paragraph" w:styleId="Subtitle">
    <w:name w:val="Subtitle"/>
    <w:basedOn w:val="Normal"/>
    <w:next w:val="Normal"/>
    <w:link w:val="SubtitleChar"/>
    <w:uiPriority w:val="87"/>
    <w:semiHidden/>
    <w:unhideWhenUsed/>
    <w:qFormat/>
    <w:numPr>
      <w:ilvl w:val="1"/>
    </w:numPr>
    <w:pPr>
      <w:numPr>
        <w:ilvl w:val="1"/>
      </w:numPr>
      <w:pBdr/>
      <w:spacing w:after="160"/>
    </w:pPr>
    <w:rPr>
      <w:rFonts w:eastAsiaTheme="minorEastAsia"/>
      <w:color w:val="5A5A5A"/>
      <w:spacing w:val="15"/>
      <w:sz w:val="22"/>
      <w:szCs w:val="22"/>
    </w:rPr>
  </w:style>
  <w:style w:type="character" w:styleId="SubtitleChar" w:customStyle="1">
    <w:name w:val="Subtitle Char"/>
    <w:basedOn w:val="DefaultParagraphFont"/>
    <w:link w:val="Subtitle"/>
    <w:uiPriority w:val="87"/>
    <w:semiHidden/>
    <w:rPr>
      <w:rFonts w:ascii="Calibri" w:hAnsi="Calibri" w:eastAsiaTheme="minorEastAsia"/>
      <w:color w:val="5A5A5A"/>
      <w:spacing w:val="15"/>
      <w:sz w:val="22"/>
      <w:szCs w:val="22"/>
    </w:rPr>
  </w:style>
  <w:style w:type="paragraph" w:styleId="Footer">
    <w:name w:val="Footer"/>
    <w:basedOn w:val="Normal"/>
    <w:link w:val="FooterChar"/>
    <w:uiPriority w:val="99"/>
    <w:semiHidden/>
    <w:unhideWhenUsed/>
    <w:pPr>
      <w:pBdr/>
      <w:tabs>
        <w:tab w:val="center" w:pos="4680"/>
        <w:tab w:val="right" w:pos="9360"/>
      </w:tabs>
      <w:spacing w:before="0" w:after="0"/>
    </w:pPr>
    <w:rPr/>
  </w:style>
  <w:style w:type="character" w:styleId="FooterChar" w:customStyle="1">
    <w:name w:val="Footer Char"/>
    <w:basedOn w:val="DefaultParagraphFont"/>
    <w:link w:val="Footer"/>
    <w:uiPriority w:val="99"/>
    <w:semiHidden/>
    <w:rPr>
      <w:rFonts w:ascii="Calibri" w:hAnsi="Calibri"/>
      <w:sz w:val="20"/>
    </w:rPr>
  </w:style>
  <w:style w:type="paragraph" w:styleId="BlockText">
    <w:name w:val="Block Text"/>
    <w:basedOn w:val="Normal"/>
    <w:uiPriority w:val="99"/>
    <w:semiHidden/>
    <w:pPr>
      <w:pBdr>
        <w:top w:val="single" w:color="4472C4" w:sz="2" w:space="10"/>
        <w:left w:val="single" w:color="4472C4" w:sz="2" w:space="10"/>
        <w:bottom w:val="single" w:color="4472C4" w:sz="2" w:space="10"/>
        <w:right w:val="single" w:color="4472C4" w:sz="2" w:space="10"/>
      </w:pBdr>
      <w:spacing/>
      <w:ind w:left="1152" w:right="1152"/>
    </w:pPr>
    <w:rPr>
      <w:rFonts w:eastAsiaTheme="minorEastAsia"/>
      <w:i/>
      <w:iCs/>
      <w:color w:val="4472C4"/>
    </w:rPr>
  </w:style>
  <w:style w:type="paragraph" w:styleId="BodyText2">
    <w:name w:val="Body Text 2"/>
    <w:basedOn w:val="Normal"/>
    <w:link w:val="BodyText2Char"/>
    <w:uiPriority w:val="99"/>
    <w:semiHidden/>
    <w:pPr>
      <w:pBdr/>
      <w:spacing w:line="480" w:lineRule="auto"/>
    </w:pPr>
    <w:rPr/>
  </w:style>
  <w:style w:type="character" w:styleId="BodyText2Char" w:customStyle="1">
    <w:name w:val="Body Text 2 Char"/>
    <w:basedOn w:val="DefaultParagraphFont"/>
    <w:link w:val="BodyText2"/>
    <w:uiPriority w:val="99"/>
    <w:semiHidden/>
    <w:rPr>
      <w:rFonts w:ascii="Calibri" w:hAnsi="Calibri"/>
      <w:sz w:val="20"/>
    </w:rPr>
  </w:style>
  <w:style w:type="paragraph" w:styleId="BodyText3">
    <w:name w:val="Body Text 3"/>
    <w:basedOn w:val="Normal"/>
    <w:link w:val="BodyText3Char"/>
    <w:uiPriority w:val="99"/>
    <w:semiHidden/>
    <w:pPr>
      <w:pBdr/>
      <w:spacing/>
    </w:pPr>
    <w:rPr>
      <w:sz w:val="16"/>
      <w:szCs w:val="16"/>
    </w:rPr>
  </w:style>
  <w:style w:type="character" w:styleId="BodyText3Char" w:customStyle="1">
    <w:name w:val="Body Text 3 Char"/>
    <w:basedOn w:val="DefaultParagraphFont"/>
    <w:link w:val="BodyText3"/>
    <w:uiPriority w:val="99"/>
    <w:semiHidden/>
    <w:rPr>
      <w:rFonts w:ascii="Calibri" w:hAnsi="Calibri"/>
      <w:sz w:val="16"/>
      <w:szCs w:val="16"/>
    </w:rPr>
  </w:style>
  <w:style w:type="paragraph" w:styleId="BodyTextFirstIndent">
    <w:name w:val="Body Text First Indent"/>
    <w:basedOn w:val="BodyText"/>
    <w:link w:val="BodyTextFirstIndentChar"/>
    <w:uiPriority w:val="99"/>
    <w:semiHidden/>
    <w:pPr>
      <w:pBdr/>
      <w:spacing/>
      <w:ind w:firstLine="360"/>
    </w:pPr>
    <w:rPr/>
  </w:style>
  <w:style w:type="character" w:styleId="BodyTextFirstIndentChar" w:customStyle="1">
    <w:name w:val="Body Text First Indent Char"/>
    <w:basedOn w:val="BodyTextChar"/>
    <w:link w:val="BodyTextFirstIndent"/>
    <w:uiPriority w:val="99"/>
    <w:semiHidden/>
    <w:rPr>
      <w:rFonts w:ascii="Calibri" w:hAnsi="Calibri"/>
      <w:sz w:val="20"/>
    </w:rPr>
  </w:style>
  <w:style w:type="paragraph" w:styleId="BodyTextIndent">
    <w:name w:val="Body Text Indent"/>
    <w:basedOn w:val="Normal"/>
    <w:link w:val="BodyTextIndentChar"/>
    <w:uiPriority w:val="99"/>
    <w:semiHidden/>
    <w:pPr>
      <w:pBdr/>
      <w:spacing/>
      <w:ind w:left="360"/>
    </w:pPr>
    <w:rPr/>
  </w:style>
  <w:style w:type="character" w:styleId="BodyTextIndentChar" w:customStyle="1">
    <w:name w:val="Body Text Indent Char"/>
    <w:basedOn w:val="DefaultParagraphFont"/>
    <w:link w:val="BodyTextIndent"/>
    <w:uiPriority w:val="99"/>
    <w:semiHidden/>
    <w:rPr>
      <w:rFonts w:ascii="Calibri" w:hAnsi="Calibri"/>
      <w:sz w:val="20"/>
    </w:rPr>
  </w:style>
  <w:style w:type="paragraph" w:styleId="BodyTextFirstIndent2">
    <w:name w:val="Body Text First Indent 2"/>
    <w:basedOn w:val="BodyTextIndent"/>
    <w:link w:val="BodyTextFirstIndent2Char"/>
    <w:uiPriority w:val="99"/>
    <w:semiHidden/>
    <w:pPr>
      <w:pBdr/>
      <w:spacing/>
      <w:ind w:firstLine="360"/>
    </w:pPr>
    <w:rPr/>
  </w:style>
  <w:style w:type="character" w:styleId="BodyTextFirstIndent2Char" w:customStyle="1">
    <w:name w:val="Body Text First Indent 2 Char"/>
    <w:basedOn w:val="BodyTextIndentChar"/>
    <w:link w:val="BodyTextFirstIndent2"/>
    <w:uiPriority w:val="99"/>
    <w:semiHidden/>
    <w:rPr>
      <w:rFonts w:ascii="Calibri" w:hAnsi="Calibri"/>
      <w:sz w:val="20"/>
    </w:rPr>
  </w:style>
  <w:style w:type="paragraph" w:styleId="BodyTextIndent2">
    <w:name w:val="Body Text Indent 2"/>
    <w:basedOn w:val="Normal"/>
    <w:link w:val="BodyTextIndent2Char"/>
    <w:uiPriority w:val="99"/>
    <w:semiHidden/>
    <w:pPr>
      <w:pBdr/>
      <w:spacing w:line="480" w:lineRule="auto"/>
      <w:ind w:left="360"/>
    </w:pPr>
    <w:rPr/>
  </w:style>
  <w:style w:type="character" w:styleId="BodyTextIndent2Char" w:customStyle="1">
    <w:name w:val="Body Text Indent 2 Char"/>
    <w:basedOn w:val="DefaultParagraphFont"/>
    <w:link w:val="BodyTextIndent2"/>
    <w:uiPriority w:val="99"/>
    <w:semiHidden/>
    <w:rPr>
      <w:rFonts w:ascii="Calibri" w:hAnsi="Calibri"/>
      <w:sz w:val="20"/>
    </w:rPr>
  </w:style>
  <w:style w:type="paragraph" w:styleId="BodyTextIndent3">
    <w:name w:val="Body Text Indent 3"/>
    <w:basedOn w:val="Normal"/>
    <w:link w:val="BodyTextIndent3Char"/>
    <w:uiPriority w:val="99"/>
    <w:semiHidden/>
    <w:pPr>
      <w:pBdr/>
      <w:spacing/>
      <w:ind w:left="360"/>
    </w:pPr>
    <w:rPr>
      <w:sz w:val="16"/>
      <w:szCs w:val="16"/>
    </w:rPr>
  </w:style>
  <w:style w:type="character" w:styleId="BodyTextIndent3Char" w:customStyle="1">
    <w:name w:val="Body Text Indent 3 Char"/>
    <w:basedOn w:val="DefaultParagraphFont"/>
    <w:link w:val="BodyTextIndent3"/>
    <w:uiPriority w:val="99"/>
    <w:semiHidden/>
    <w:rPr>
      <w:rFonts w:ascii="Calibri" w:hAnsi="Calibri"/>
      <w:sz w:val="16"/>
      <w:szCs w:val="16"/>
    </w:rPr>
  </w:style>
  <w:style w:type="paragraph" w:styleId="Caption">
    <w:name w:val="Caption"/>
    <w:basedOn w:val="Normal"/>
    <w:next w:val="Normal"/>
    <w:uiPriority w:val="35"/>
    <w:semiHidden/>
    <w:unhideWhenUsed/>
    <w:qFormat/>
    <w:pPr>
      <w:pBdr/>
      <w:spacing w:before="0" w:after="200"/>
    </w:pPr>
    <w:rPr>
      <w:i/>
      <w:iCs/>
      <w:color w:val="44546A"/>
      <w:sz w:val="18"/>
      <w:szCs w:val="18"/>
    </w:rPr>
  </w:style>
  <w:style w:type="paragraph" w:styleId="Closing">
    <w:name w:val="Closing"/>
    <w:basedOn w:val="Normal"/>
    <w:link w:val="ClosingChar"/>
    <w:uiPriority w:val="99"/>
    <w:semiHidden/>
    <w:pPr>
      <w:pBdr/>
      <w:spacing w:before="0" w:after="0"/>
      <w:ind w:left="4320"/>
    </w:pPr>
    <w:rPr/>
  </w:style>
  <w:style w:type="character" w:styleId="ClosingChar" w:customStyle="1">
    <w:name w:val="Closing Char"/>
    <w:basedOn w:val="DefaultParagraphFont"/>
    <w:link w:val="Closing"/>
    <w:uiPriority w:val="99"/>
    <w:semiHidden/>
    <w:rPr>
      <w:rFonts w:ascii="Calibri" w:hAnsi="Calibri"/>
      <w:sz w:val="20"/>
    </w:rPr>
  </w:style>
  <w:style w:type="paragraph" w:styleId="CommentText" w:customStyle="1">
    <w:name w:val="annotation text"/>
    <w:basedOn w:val="Normal"/>
    <w:link w:val="CommentTextChar"/>
    <w:uiPriority w:val="99"/>
    <w:semiHidden/>
    <w:unhideWhenUsed/>
    <w:pPr>
      <w:pBdr/>
      <w:spacing/>
    </w:pPr>
    <w:rPr>
      <w:szCs w:val="20"/>
    </w:rPr>
  </w:style>
  <w:style w:type="character" w:styleId="CommentTextChar" w:customStyle="1">
    <w:name w:val="Comment Text Char"/>
    <w:basedOn w:val="DefaultParagraphFont"/>
    <w:link w:val="annotationtext"/>
    <w:uiPriority w:val="99"/>
    <w:semiHidden/>
    <w:rPr>
      <w:rFonts w:ascii="Calibri" w:hAnsi="Calibri"/>
      <w:sz w:val="20"/>
      <w:szCs w:val="20"/>
    </w:rPr>
  </w:style>
  <w:style w:type="paragraph" w:styleId="CommentSubject" w:customStyle="1">
    <w:name w:val="annotation subject"/>
    <w:basedOn w:val="CommentText"/>
    <w:next w:val="CommentText"/>
    <w:link w:val="CommentSubjectChar"/>
    <w:uiPriority w:val="99"/>
    <w:semiHidden/>
    <w:unhideWhenUsed/>
    <w:pPr>
      <w:pBdr/>
      <w:spacing/>
    </w:pPr>
    <w:rPr>
      <w:b/>
      <w:bCs/>
    </w:rPr>
  </w:style>
  <w:style w:type="character" w:styleId="CommentSubjectChar" w:customStyle="1">
    <w:name w:val="Comment Subject Char"/>
    <w:basedOn w:val="CommentTextChar"/>
    <w:link w:val="annotationsubject"/>
    <w:uiPriority w:val="99"/>
    <w:semiHidden/>
    <w:rPr>
      <w:rFonts w:ascii="Calibri" w:hAnsi="Calibri"/>
      <w:b/>
      <w:bCs/>
      <w:sz w:val="20"/>
      <w:szCs w:val="20"/>
    </w:rPr>
  </w:style>
  <w:style w:type="paragraph" w:styleId="Date">
    <w:name w:val="Date"/>
    <w:basedOn w:val="Normal"/>
    <w:next w:val="Normal"/>
    <w:link w:val="DateChar"/>
    <w:uiPriority w:val="99"/>
    <w:semiHidden/>
    <w:unhideWhenUsed/>
    <w:pPr>
      <w:pBdr/>
      <w:spacing/>
    </w:pPr>
    <w:rPr/>
  </w:style>
  <w:style w:type="character" w:styleId="DateChar" w:customStyle="1">
    <w:name w:val="Date Char"/>
    <w:basedOn w:val="DefaultParagraphFont"/>
    <w:link w:val="Date"/>
    <w:uiPriority w:val="99"/>
    <w:semiHidden/>
    <w:rPr>
      <w:rFonts w:ascii="Calibri" w:hAnsi="Calibri"/>
      <w:sz w:val="20"/>
    </w:rPr>
  </w:style>
  <w:style w:type="character" w:styleId="BookTitle" w:customStyle="1">
    <w:name w:val="Book Title"/>
    <w:basedOn w:val="DefaultParagraphFont"/>
    <w:uiPriority w:val="84"/>
    <w:semiHidden/>
    <w:unhideWhenUsed/>
    <w:qFormat/>
    <w:rPr>
      <w:b/>
      <w:bCs/>
      <w:i/>
      <w:iCs/>
      <w:spacing w:val="5"/>
    </w:rPr>
  </w:style>
  <w:style w:type="character" w:styleId="CommentReference" w:customStyle="1">
    <w:name w:val="annotation reference"/>
    <w:basedOn w:val="DefaultParagraphFont"/>
    <w:uiPriority w:val="99"/>
    <w:semiHidden/>
    <w:unhideWhenUsed/>
    <w:rPr>
      <w:sz w:val="16"/>
      <w:szCs w:val="16"/>
    </w:rPr>
  </w:style>
  <w:style w:type="paragraph" w:styleId="DocumentMap">
    <w:name w:val="Document Map"/>
    <w:basedOn w:val="Normal"/>
    <w:link w:val="DocumentMapChar"/>
    <w:uiPriority w:val="99"/>
    <w:semiHidden/>
    <w:unhideWhenUsed/>
    <w:pPr>
      <w:pBdr/>
      <w:spacing w:before="0" w:after="0"/>
    </w:pPr>
    <w:rPr>
      <w:rFonts w:cs="Calibri"/>
      <w:sz w:val="16"/>
      <w:szCs w:val="16"/>
    </w:rPr>
  </w:style>
  <w:style w:type="character" w:styleId="DocumentMapChar" w:customStyle="1">
    <w:name w:val="Document Map Char"/>
    <w:basedOn w:val="DefaultParagraphFont"/>
    <w:link w:val="DocumentMap"/>
    <w:uiPriority w:val="99"/>
    <w:semiHidden/>
    <w:rPr>
      <w:rFonts w:ascii="Calibri" w:hAnsi="Calibri" w:cs="Calibri"/>
      <w:sz w:val="16"/>
      <w:szCs w:val="16"/>
    </w:rPr>
  </w:style>
  <w:style w:type="paragraph" w:styleId="E-mailSignature">
    <w:name w:val="E-mail Signature"/>
    <w:basedOn w:val="Normal"/>
    <w:link w:val="E-mailSignatureChar"/>
    <w:uiPriority w:val="99"/>
    <w:semiHidden/>
    <w:unhideWhenUsed/>
    <w:pPr>
      <w:pBdr/>
      <w:spacing w:before="0" w:after="0"/>
    </w:pPr>
    <w:rPr/>
  </w:style>
  <w:style w:type="character" w:styleId="E-mailSignatureChar" w:customStyle="1">
    <w:name w:val="E-mail Signature Char"/>
    <w:basedOn w:val="DefaultParagraphFont"/>
    <w:link w:val="E-mailSignature"/>
    <w:uiPriority w:val="99"/>
    <w:semiHidden/>
    <w:rPr>
      <w:rFonts w:ascii="Calibri" w:hAnsi="Calibri"/>
      <w:sz w:val="20"/>
    </w:rPr>
  </w:style>
  <w:style w:type="character" w:styleId="Emphasis">
    <w:name w:val="Emphasis"/>
    <w:basedOn w:val="DefaultParagraphFont"/>
    <w:uiPriority w:val="11"/>
    <w:semiHidden/>
    <w:qFormat/>
    <w:rPr>
      <w:i/>
      <w:iCs/>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pBdr/>
      <w:spacing w:before="0" w:after="0"/>
    </w:pPr>
    <w:rPr>
      <w:szCs w:val="20"/>
    </w:rPr>
  </w:style>
  <w:style w:type="character" w:styleId="EndnoteTextChar" w:customStyle="1">
    <w:name w:val="Endnote Text Char"/>
    <w:basedOn w:val="DefaultParagraphFont"/>
    <w:link w:val="EndnoteText"/>
    <w:uiPriority w:val="99"/>
    <w:semiHidden/>
    <w:rPr>
      <w:rFonts w:ascii="Calibri" w:hAnsi="Calibri"/>
      <w:sz w:val="20"/>
      <w:szCs w:val="20"/>
    </w:rPr>
  </w:style>
  <w:style w:type="paragraph" w:styleId="EnvelopeAddress" w:customStyle="1">
    <w:name w:val="envelope address"/>
    <w:basedOn w:val="Normal"/>
    <w:uiPriority w:val="99"/>
    <w:semiHidden/>
    <w:unhideWhenUsed/>
    <w:pPr>
      <w:framePr w:w="7920" w:h="1980" w:hSpace="180" w:wrap="auto" w:hAnchor="page" w:xAlign="center" w:yAlign="bottom" w:hRule="exact" w:lines="1"/>
      <w:pBdr/>
      <w:spacing w:before="0" w:after="0"/>
      <w:ind w:left="2880"/>
    </w:pPr>
    <w:rPr>
      <w:rFonts w:asciiTheme="majorHAnsi" w:hAnsiTheme="majorHAnsi" w:eastAsiaTheme="majorEastAsia" w:cstheme="majorBidi"/>
      <w:sz w:val="24"/>
    </w:rPr>
  </w:style>
  <w:style w:type="paragraph" w:styleId="EnvelopeReturn" w:customStyle="1">
    <w:name w:val="envelope return"/>
    <w:basedOn w:val="Normal"/>
    <w:uiPriority w:val="99"/>
    <w:semiHidden/>
    <w:unhideWhenUsed/>
    <w:pPr>
      <w:pBdr/>
      <w:spacing w:before="0" w:after="0"/>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Pr>
      <w:color w:val="954F72"/>
      <w:u w:val="single"/>
    </w:rPr>
  </w:style>
  <w:style w:type="paragraph" w:styleId="Header">
    <w:name w:val="Header"/>
    <w:basedOn w:val="Normal"/>
    <w:link w:val="HeaderChar"/>
    <w:uiPriority w:val="99"/>
    <w:semiHidden/>
    <w:unhideWhenUsed/>
    <w:pPr>
      <w:pBdr/>
      <w:tabs>
        <w:tab w:val="center" w:pos="4680"/>
        <w:tab w:val="right" w:pos="9360"/>
      </w:tabs>
      <w:spacing w:before="0" w:after="0"/>
    </w:pPr>
    <w:rPr/>
  </w:style>
  <w:style w:type="character" w:styleId="HeaderChar" w:customStyle="1">
    <w:name w:val="Header Char"/>
    <w:basedOn w:val="DefaultParagraphFont"/>
    <w:link w:val="Header"/>
    <w:uiPriority w:val="99"/>
    <w:semiHidden/>
    <w:rPr>
      <w:rFonts w:ascii="Calibri" w:hAnsi="Calibri"/>
      <w:sz w:val="20"/>
    </w:rPr>
  </w:style>
  <w:style w:type="paragraph" w:styleId="NoteHeading">
    <w:name w:val="Note Heading"/>
    <w:basedOn w:val="Normal"/>
    <w:next w:val="Normal"/>
    <w:link w:val="NoteHeadingChar"/>
    <w:uiPriority w:val="99"/>
    <w:semiHidden/>
    <w:unhideWhenUsed/>
    <w:pPr>
      <w:pBdr/>
      <w:spacing w:before="0" w:after="0"/>
    </w:pPr>
    <w:rPr/>
  </w:style>
  <w:style w:type="character" w:styleId="NoteHeadingChar" w:customStyle="1">
    <w:name w:val="Note Heading Char"/>
    <w:basedOn w:val="DefaultParagraphFont"/>
    <w:link w:val="NoteHeading"/>
    <w:uiPriority w:val="99"/>
    <w:semiHidden/>
    <w:rPr>
      <w:rFonts w:ascii="Calibri" w:hAnsi="Calibri"/>
      <w:sz w:val="20"/>
    </w:rPr>
  </w:style>
  <w:style w:type="paragraph" w:styleId="ListBullet2">
    <w:name w:val="List Bullet 2"/>
    <w:basedOn w:val="Normal"/>
    <w:uiPriority w:val="99"/>
    <w:semiHidden/>
    <w:unhideWhenUsed/>
    <w:numPr>
      <w:numId w:val="3"/>
    </w:numPr>
    <w:pPr>
      <w:numPr>
        <w:numId w:val="3"/>
      </w:numPr>
      <w:pBdr/>
      <w:spacing/>
      <w:contextualSpacing/>
    </w:pPr>
    <w:rPr/>
  </w:style>
  <w:style w:type="paragraph" w:styleId="ListBullet3">
    <w:name w:val="List Bullet 3"/>
    <w:basedOn w:val="Normal"/>
    <w:uiPriority w:val="99"/>
    <w:semiHidden/>
    <w:unhideWhenUsed/>
    <w:numPr>
      <w:numId w:val="4"/>
    </w:numPr>
    <w:pPr>
      <w:numPr>
        <w:numId w:val="4"/>
      </w:numPr>
      <w:pBdr/>
      <w:spacing/>
      <w:contextualSpacing/>
    </w:pPr>
    <w:rPr/>
  </w:style>
  <w:style w:type="paragraph" w:styleId="ListBullet4">
    <w:name w:val="List Bullet 4"/>
    <w:basedOn w:val="Normal"/>
    <w:uiPriority w:val="99"/>
    <w:semiHidden/>
    <w:unhideWhenUsed/>
    <w:numPr>
      <w:numId w:val="5"/>
    </w:numPr>
    <w:pPr>
      <w:numPr>
        <w:numId w:val="5"/>
      </w:numPr>
      <w:pBdr/>
      <w:spacing/>
      <w:contextualSpacing/>
    </w:pPr>
    <w:rPr/>
  </w:style>
  <w:style w:type="paragraph" w:styleId="ListBullet5">
    <w:name w:val="List Bullet 5"/>
    <w:basedOn w:val="Normal"/>
    <w:uiPriority w:val="99"/>
    <w:semiHidden/>
    <w:unhideWhenUsed/>
    <w:numPr>
      <w:numId w:val="6"/>
    </w:numPr>
    <w:pPr>
      <w:numPr>
        <w:numId w:val="6"/>
      </w:numPr>
      <w:pBdr/>
      <w:spacing/>
      <w:contextualSpacing/>
    </w:pPr>
    <w:rPr/>
  </w:style>
  <w:style w:type="paragraph" w:styleId="ListContinue2">
    <w:name w:val="List Continue 2"/>
    <w:basedOn w:val="Normal"/>
    <w:uiPriority w:val="99"/>
    <w:semiHidden/>
    <w:unhideWhenUsed/>
    <w:pPr>
      <w:pBdr/>
      <w:spacing/>
      <w:ind w:left="720"/>
      <w:contextualSpacing/>
    </w:pPr>
    <w:rPr/>
  </w:style>
  <w:style w:type="paragraph" w:styleId="ListContinue3">
    <w:name w:val="List Continue 3"/>
    <w:basedOn w:val="Normal"/>
    <w:uiPriority w:val="99"/>
    <w:semiHidden/>
    <w:unhideWhenUsed/>
    <w:qFormat/>
    <w:pPr>
      <w:pBdr/>
      <w:spacing/>
      <w:ind w:left="1080"/>
      <w:contextualSpacing/>
    </w:pPr>
    <w:rPr/>
  </w:style>
  <w:style w:type="paragraph" w:styleId="ListContinue4">
    <w:name w:val="List Continue 4"/>
    <w:basedOn w:val="Normal"/>
    <w:uiPriority w:val="99"/>
    <w:semiHidden/>
    <w:unhideWhenUsed/>
    <w:qFormat/>
    <w:pPr>
      <w:pBdr/>
      <w:spacing/>
      <w:ind w:left="1440"/>
      <w:contextualSpacing/>
    </w:pPr>
    <w:rPr/>
  </w:style>
  <w:style w:type="paragraph" w:styleId="ListContinue5">
    <w:name w:val="List Continue 5"/>
    <w:basedOn w:val="Normal"/>
    <w:uiPriority w:val="99"/>
    <w:semiHidden/>
    <w:unhideWhenUsed/>
    <w:qFormat/>
    <w:pPr>
      <w:pBdr/>
      <w:spacing/>
      <w:ind w:left="1800"/>
      <w:contextualSpacing/>
    </w:pPr>
    <w:rPr/>
  </w:style>
  <w:style w:type="paragraph" w:styleId="ListNumber2">
    <w:name w:val="List Number 2"/>
    <w:basedOn w:val="Normal"/>
    <w:uiPriority w:val="99"/>
    <w:semiHidden/>
    <w:unhideWhenUsed/>
    <w:qFormat/>
    <w:numPr>
      <w:numId w:val="7"/>
    </w:numPr>
    <w:pPr>
      <w:numPr>
        <w:numId w:val="7"/>
      </w:numPr>
      <w:pBdr/>
      <w:spacing/>
      <w:contextualSpacing/>
    </w:pPr>
    <w:rPr/>
  </w:style>
  <w:style w:type="paragraph" w:styleId="ListNumber3">
    <w:name w:val="List Number 3"/>
    <w:basedOn w:val="Normal"/>
    <w:uiPriority w:val="99"/>
    <w:semiHidden/>
    <w:unhideWhenUsed/>
    <w:qFormat/>
    <w:numPr>
      <w:numId w:val="8"/>
    </w:numPr>
    <w:pPr>
      <w:numPr>
        <w:numId w:val="8"/>
      </w:numPr>
      <w:pBdr/>
      <w:spacing/>
      <w:contextualSpacing/>
    </w:pPr>
    <w:rPr/>
  </w:style>
  <w:style w:type="paragraph" w:styleId="ListNumber4">
    <w:name w:val="List Number 4"/>
    <w:basedOn w:val="Normal"/>
    <w:uiPriority w:val="99"/>
    <w:semiHidden/>
    <w:unhideWhenUsed/>
    <w:qFormat/>
    <w:numPr>
      <w:numId w:val="9"/>
    </w:numPr>
    <w:pPr>
      <w:numPr>
        <w:numId w:val="9"/>
      </w:numPr>
      <w:pBdr/>
      <w:spacing/>
      <w:contextualSpacing/>
    </w:pPr>
    <w:rPr/>
  </w:style>
  <w:style w:type="paragraph" w:styleId="ListNumber5">
    <w:name w:val="List Number 5"/>
    <w:basedOn w:val="Normal"/>
    <w:uiPriority w:val="99"/>
    <w:semiHidden/>
    <w:unhideWhenUsed/>
    <w:qFormat/>
    <w:numPr>
      <w:numId w:val="10"/>
    </w:numPr>
    <w:pPr>
      <w:numPr>
        <w:numId w:val="10"/>
      </w:numPr>
      <w:pBdr/>
      <w:spacing/>
      <w:contextualSpacing/>
    </w:pPr>
    <w:rPr/>
  </w:style>
  <w:style w:type="paragraph" w:styleId="TOCHeading" w:customStyle="1">
    <w:name w:val="TOC Heading"/>
    <w:basedOn w:val="Heading1"/>
    <w:next w:val="Normal"/>
    <w:uiPriority w:val="69"/>
    <w:semiHidden/>
    <w:unhideWhenUsed/>
    <w:qFormat/>
    <w:pPr>
      <w:pBdr/>
      <w:spacing w:before="240" w:after="0" w:line="240" w:lineRule="auto"/>
      <w:jc w:val="left"/>
    </w:pPr>
    <w:rPr>
      <w:rFonts w:eastAsiaTheme="majorEastAsia" w:cstheme="majorBidi"/>
      <w:b w:val="0"/>
      <w:color w:val="2F5496"/>
    </w:rPr>
  </w:style>
  <w:style w:type="paragraph" w:styleId="TOAHeading">
    <w:name w:val="TOA Heading"/>
    <w:basedOn w:val="Normal"/>
    <w:next w:val="Normal"/>
    <w:uiPriority w:val="99"/>
    <w:semiHidden/>
    <w:unhideWhenUsed/>
    <w:pPr>
      <w:pBdr/>
      <w:spacing w:before="120"/>
    </w:pPr>
    <w:rPr>
      <w:rFonts w:eastAsiaTheme="majorEastAsia" w:cstheme="majorBidi"/>
      <w:b/>
      <w:bCs/>
      <w:sz w:val="24"/>
    </w:rPr>
  </w:style>
  <w:style w:type="paragraph" w:styleId="IndexHeading">
    <w:name w:val="Index Heading"/>
    <w:basedOn w:val="Normal"/>
    <w:next w:val="Index1"/>
    <w:uiPriority w:val="99"/>
    <w:semiHidden/>
    <w:unhideWhenUsed/>
    <w:qFormat/>
    <w:pPr>
      <w:pBdr/>
      <w:spacing/>
    </w:pPr>
    <w:rPr>
      <w:rFonts w:eastAsiaTheme="majorEastAsia" w:cstheme="majorBidi"/>
      <w:b/>
      <w:bCs/>
    </w:rPr>
  </w:style>
  <w:style w:type="paragraph" w:styleId="TableofAuthorities">
    <w:name w:val="Table of Authorities"/>
    <w:basedOn w:val="Normal"/>
    <w:next w:val="Normal"/>
    <w:uiPriority w:val="99"/>
    <w:semiHidden/>
    <w:unhideWhenUsed/>
    <w:pPr>
      <w:pBdr/>
      <w:spacing w:after="0"/>
      <w:ind w:left="200" w:hanging="200"/>
    </w:pPr>
    <w:rPr/>
  </w:style>
  <w:style w:type="table" w:styleId="NormalTable_8bb93c8e-09ae-4dcb-a4e2-84b18fddba92" w:customStyle="1">
    <w:name w:val="Normal Table_8bb93c8e-09ae-4dcb-a4e2-84b18fddba9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062abd8f-b402-4136-9472-9127a6aa0095" w:customStyle="1">
    <w:name w:val="Table 1_062abd8f-b402-4136-9472-9127a6aa0095"/>
    <w:basedOn w:val="NormalTable_8bb93c8e-09ae-4dcb-a4e2-84b18fddba92"/>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 w:customStyle="1">
    <w:name w:val="Table 2"/>
    <w:basedOn w:val="Table1_062abd8f-b402-4136-9472-9127a6aa0095"/>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4b2fc85-30e7-48ac-ad50-d7e00c87d018" w:customStyle="1">
    <w:name w:val="Normal Table_e4b2fc85-30e7-48ac-ad50-d7e00c87d01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93ffd7e3-6734-4f5f-8b79-96b3f0361a7b" w:customStyle="1">
    <w:name w:val="Table 1_93ffd7e3-6734-4f5f-8b79-96b3f0361a7b"/>
    <w:basedOn w:val="NormalTable_e4b2fc85-30e7-48ac-ad50-d7e00c87d01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a54eb900-d600-4dd3-851b-dc583e2d0fb0" w:customStyle="1">
    <w:name w:val="Table 2_a54eb900-d600-4dd3-851b-dc583e2d0fb0"/>
    <w:basedOn w:val="Table1_93ffd7e3-6734-4f5f-8b79-96b3f0361a7b"/>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 w:customStyle="1">
    <w:name w:val="Table 3"/>
    <w:basedOn w:val="Table2_a54eb900-d600-4dd3-851b-dc583e2d0fb0"/>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7388d404-6713-4fee-b2f0-1d3f1c1e5ae0" w:customStyle="1">
    <w:name w:val="Normal Table_7388d404-6713-4fee-b2f0-1d3f1c1e5ae0"/>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fa5a36f1-e2f9-442a-8747-3ff340cb5f22" w:customStyle="1">
    <w:name w:val="Table 1_fa5a36f1-e2f9-442a-8747-3ff340cb5f22"/>
    <w:basedOn w:val="NormalTable_7388d404-6713-4fee-b2f0-1d3f1c1e5ae0"/>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5a2f8c3-03d9-49cd-9a1b-19791d0ec6a6" w:customStyle="1">
    <w:name w:val="Table 2_f5a2f8c3-03d9-49cd-9a1b-19791d0ec6a6"/>
    <w:basedOn w:val="Table1_fa5a36f1-e2f9-442a-8747-3ff340cb5f22"/>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2accd93b-8c4c-4871-94b6-7122ff90508f" w:customStyle="1">
    <w:name w:val="Table 3_2accd93b-8c4c-4871-94b6-7122ff90508f"/>
    <w:basedOn w:val="Table2_f5a2f8c3-03d9-49cd-9a1b-19791d0ec6a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 w:customStyle="1">
    <w:name w:val="Table 4"/>
    <w:basedOn w:val="Table3_2accd93b-8c4c-4871-94b6-7122ff90508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13d6e99f-d661-400c-a8ea-09e5ca516208" w:customStyle="1">
    <w:name w:val="Normal Table_13d6e99f-d661-400c-a8ea-09e5ca516208"/>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2495498-b088-4837-8a10-903a1ee130a3" w:customStyle="1">
    <w:name w:val="Table 1_e2495498-b088-4837-8a10-903a1ee130a3"/>
    <w:basedOn w:val="NormalTable_13d6e99f-d661-400c-a8ea-09e5ca516208"/>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ff118066-2bc8-48be-84a2-ea8fc33b3e86" w:customStyle="1">
    <w:name w:val="Table 2_ff118066-2bc8-48be-84a2-ea8fc33b3e86"/>
    <w:basedOn w:val="Table1_e2495498-b088-4837-8a10-903a1ee130a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aa4a3712-64d2-42fc-a31e-f6f53d58f470" w:customStyle="1">
    <w:name w:val="Table 3_aa4a3712-64d2-42fc-a31e-f6f53d58f470"/>
    <w:basedOn w:val="Table2_ff118066-2bc8-48be-84a2-ea8fc33b3e86"/>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47ba5ca3-2dd1-422f-8460-6c528c98baff" w:customStyle="1">
    <w:name w:val="Table 4_47ba5ca3-2dd1-422f-8460-6c528c98baff"/>
    <w:basedOn w:val="Table3_aa4a3712-64d2-42fc-a31e-f6f53d58f470"/>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 w:customStyle="1">
    <w:name w:val="Table 5"/>
    <w:basedOn w:val="Table4_47ba5ca3-2dd1-422f-8460-6c528c98baff"/>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81a61f14-880a-4947-95bb-7bed89836d2c" w:customStyle="1">
    <w:name w:val="Normal Table_81a61f14-880a-4947-95bb-7bed89836d2c"/>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e784f9c2-6d2f-4c41-916b-da4b95063d5a" w:customStyle="1">
    <w:name w:val="Table 1_e784f9c2-6d2f-4c41-916b-da4b95063d5a"/>
    <w:basedOn w:val="NormalTable_81a61f14-880a-4947-95bb-7bed89836d2c"/>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3b546488-1b95-4d90-9233-2efacf25116f" w:customStyle="1">
    <w:name w:val="Table 2_3b546488-1b95-4d90-9233-2efacf25116f"/>
    <w:basedOn w:val="Table1_e784f9c2-6d2f-4c41-916b-da4b95063d5a"/>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0fb845c0-756c-4b74-8fbe-f5d94743b7ed" w:customStyle="1">
    <w:name w:val="Table 3_0fb845c0-756c-4b74-8fbe-f5d94743b7ed"/>
    <w:basedOn w:val="Table2_3b546488-1b95-4d90-9233-2efacf25116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73bee003-ce15-441b-85b4-0f77654d88e4" w:customStyle="1">
    <w:name w:val="Table 4_73bee003-ce15-441b-85b4-0f77654d88e4"/>
    <w:basedOn w:val="Table3_0fb845c0-756c-4b74-8fbe-f5d94743b7ed"/>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c5537164-a3ad-48db-85be-c7abfafe0fc7" w:customStyle="1">
    <w:name w:val="Table 5_c5537164-a3ad-48db-85be-c7abfafe0fc7"/>
    <w:basedOn w:val="Table4_73bee003-ce15-441b-85b4-0f77654d88e4"/>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 w:customStyle="1">
    <w:name w:val="Table 6"/>
    <w:basedOn w:val="Table5_c5537164-a3ad-48db-85be-c7abfafe0fc7"/>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NormalTable_7bfd286b-db3a-4e72-a463-2c775f9246f1" w:customStyle="1">
    <w:name w:val="Normal Table_7bfd286b-db3a-4e72-a463-2c775f9246f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34646235-b680-4a67-8671-feea2d9edcb3" w:customStyle="1">
    <w:name w:val="Table 1_34646235-b680-4a67-8671-feea2d9edcb3"/>
    <w:basedOn w:val="NormalTable_7bfd286b-db3a-4e72-a463-2c775f9246f1"/>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b34247a8-ecdb-498f-80eb-72c2772afc45" w:customStyle="1">
    <w:name w:val="Table 2_b34247a8-ecdb-498f-80eb-72c2772afc45"/>
    <w:basedOn w:val="Table1_34646235-b680-4a67-8671-feea2d9edcb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392047d6-7166-47d5-8148-cb334f8410df" w:customStyle="1">
    <w:name w:val="Table 3_392047d6-7166-47d5-8148-cb334f8410df"/>
    <w:basedOn w:val="Table2_b34247a8-ecdb-498f-80eb-72c2772afc45"/>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3b02c6b3-63e6-4487-a048-8a0c6edbdf5e" w:customStyle="1">
    <w:name w:val="Table 4_3b02c6b3-63e6-4487-a048-8a0c6edbdf5e"/>
    <w:basedOn w:val="Table3_392047d6-7166-47d5-8148-cb334f8410df"/>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811f04e1-e19c-46b6-a00d-27e0a3982875" w:customStyle="1">
    <w:name w:val="Table 5_811f04e1-e19c-46b6-a00d-27e0a3982875"/>
    <w:basedOn w:val="Table4_3b02c6b3-63e6-4487-a048-8a0c6edbdf5e"/>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0edafe43-1a49-4fbd-8f2e-47febc743c91" w:customStyle="1">
    <w:name w:val="Table 6_0edafe43-1a49-4fbd-8f2e-47febc743c91"/>
    <w:basedOn w:val="Table5_811f04e1-e19c-46b6-a00d-27e0a3982875"/>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 w:customStyle="1">
    <w:name w:val="Table 7"/>
    <w:basedOn w:val="Table6_0edafe43-1a49-4fbd-8f2e-47febc743c91"/>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eced38b5-2e61-48b6-872b-536942954cf9" w:customStyle="1">
    <w:name w:val="Normal Table_eced38b5-2e61-48b6-872b-536942954cf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76429a2d-8f7b-43b8-9401-430cdb150388" w:customStyle="1">
    <w:name w:val="Table 1_76429a2d-8f7b-43b8-9401-430cdb150388"/>
    <w:basedOn w:val="NormalTable_eced38b5-2e61-48b6-872b-536942954cf9"/>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4a214a30-ce32-4a1e-a6ed-6bcca6835b7c" w:customStyle="1">
    <w:name w:val="Table 2_4a214a30-ce32-4a1e-a6ed-6bcca6835b7c"/>
    <w:basedOn w:val="Table1_76429a2d-8f7b-43b8-9401-430cdb150388"/>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d0f2d69e-e822-4c5f-9f18-d2865d6d3c3c" w:customStyle="1">
    <w:name w:val="Table 3_d0f2d69e-e822-4c5f-9f18-d2865d6d3c3c"/>
    <w:basedOn w:val="Table2_4a214a30-ce32-4a1e-a6ed-6bcca6835b7c"/>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1e05bb09-944e-4e40-ac99-34661b95f04b" w:customStyle="1">
    <w:name w:val="Table 4_1e05bb09-944e-4e40-ac99-34661b95f04b"/>
    <w:basedOn w:val="Table3_d0f2d69e-e822-4c5f-9f18-d2865d6d3c3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51acc3fd-24a1-4b91-a7f3-611c07cf5993" w:customStyle="1">
    <w:name w:val="Table 5_51acc3fd-24a1-4b91-a7f3-611c07cf5993"/>
    <w:basedOn w:val="Table4_1e05bb09-944e-4e40-ac99-34661b95f04b"/>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ef591e75-eccc-46f9-b329-80fed2e43e3b" w:customStyle="1">
    <w:name w:val="Table 6_ef591e75-eccc-46f9-b329-80fed2e43e3b"/>
    <w:basedOn w:val="Table5_51acc3fd-24a1-4b91-a7f3-611c07cf5993"/>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f0c66fb8-8299-493c-9959-ce03c2c3fc6e" w:customStyle="1">
    <w:name w:val="Table 7_f0c66fb8-8299-493c-9959-ce03c2c3fc6e"/>
    <w:basedOn w:val="Table6_ef591e75-eccc-46f9-b329-80fed2e43e3b"/>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 w:customStyle="1">
    <w:name w:val="Table 8"/>
    <w:basedOn w:val="Table7_f0c66fb8-8299-493c-9959-ce03c2c3fc6e"/>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21845be-8033-442f-8e12-f5ea2e87c6cf" w:customStyle="1">
    <w:name w:val="Normal Table_321845be-8033-442f-8e12-f5ea2e87c6cf"/>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1_c8c8ed23-041f-49e4-a382-3167db84a813" w:customStyle="1">
    <w:name w:val="Table 1_c8c8ed23-041f-49e4-a382-3167db84a813"/>
    <w:basedOn w:val="NormalTable_321845be-8033-442f-8e12-f5ea2e87c6cf"/>
    <w:uiPriority w:val="99"/>
    <w:pPr>
      <w:pBdr/>
      <w:spacing w:before="0" w:after="0"/>
      <w:jc w:val="left"/>
    </w:pPr>
    <w:rPr>
      <w:sz w:val="20"/>
    </w:rPr>
    <w:tblPr>
      <w:tblInd w:w="1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2_db8cb166-2f14-469a-b614-8be52ecd4e6f" w:customStyle="1">
    <w:name w:val="Table 2_db8cb166-2f14-469a-b614-8be52ecd4e6f"/>
    <w:basedOn w:val="Table1_c8c8ed23-041f-49e4-a382-3167db84a813"/>
    <w:uiPriority w:val="99"/>
    <w:pPr>
      <w:pBdr/>
      <w:spacing/>
    </w:pPr>
    <w:rPr/>
    <w:tblPr>
      <w:tblInd w:w="5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3_5c52ca98-d353-4e89-898a-aa07f97cd1bc" w:customStyle="1">
    <w:name w:val="Table 3_5c52ca98-d353-4e89-898a-aa07f97cd1bc"/>
    <w:basedOn w:val="Table2_db8cb166-2f14-469a-b614-8be52ecd4e6f"/>
    <w:uiPriority w:val="99"/>
    <w:pPr>
      <w:pBdr/>
      <w:spacing/>
    </w:pPr>
    <w:rPr/>
    <w:tblPr>
      <w:tblInd w:w="10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4_399c7214-5899-452a-b37c-b0bb1d520ed0" w:customStyle="1">
    <w:name w:val="Table 4_399c7214-5899-452a-b37c-b0bb1d520ed0"/>
    <w:basedOn w:val="Table3_5c52ca98-d353-4e89-898a-aa07f97cd1bc"/>
    <w:uiPriority w:val="99"/>
    <w:pPr>
      <w:pBdr/>
      <w:spacing/>
    </w:pPr>
    <w:rPr/>
    <w:tblPr>
      <w:tblInd w:w="1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5_dec1074b-887a-4494-a4b2-4386b1f6ed0a" w:customStyle="1">
    <w:name w:val="Table 5_dec1074b-887a-4494-a4b2-4386b1f6ed0a"/>
    <w:basedOn w:val="Table4_399c7214-5899-452a-b37c-b0bb1d520ed0"/>
    <w:uiPriority w:val="99"/>
    <w:pPr>
      <w:pBdr/>
      <w:spacing/>
    </w:pPr>
    <w:rPr/>
    <w:tblPr>
      <w:tblInd w:w="20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6_d0ccf44f-9f74-44df-907b-0c73c3344663" w:customStyle="1">
    <w:name w:val="Table 6_d0ccf44f-9f74-44df-907b-0c73c3344663"/>
    <w:basedOn w:val="Table5_dec1074b-887a-4494-a4b2-4386b1f6ed0a"/>
    <w:uiPriority w:val="99"/>
    <w:pPr>
      <w:pBdr/>
      <w:spacing/>
    </w:pPr>
    <w:rPr/>
    <w:tblPr>
      <w:tblInd w:w="25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15" w:type="dxa"/>
        <w:right w:w="115" w:type="dxa"/>
      </w:tblCellMar>
    </w:tblPr>
    <w:trPr/>
    <w:tcPr>
      <w:tcBorders/>
      <w:shd w:val="clear" w:color="auto" w:fill="auto"/>
      <w:tcMar/>
      <w:vAlign w:val="top"/>
    </w:tcPr>
  </w:style>
  <w:style w:type="table" w:styleId="Table7_3d6050fa-00b1-48b4-bc57-2f4ce5f85434" w:customStyle="1">
    <w:name w:val="Table 7_3d6050fa-00b1-48b4-bc57-2f4ce5f85434"/>
    <w:basedOn w:val="Table6_d0ccf44f-9f74-44df-907b-0c73c3344663"/>
    <w:uiPriority w:val="99"/>
    <w:pPr>
      <w:pBdr/>
      <w:spacing/>
    </w:pPr>
    <w:rPr/>
    <w:tblPr>
      <w:tblInd w:w="29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8_50ed2555-13b8-405d-8b4e-2b1b71cbdf92" w:customStyle="1">
    <w:name w:val="Table 8_50ed2555-13b8-405d-8b4e-2b1b71cbdf92"/>
    <w:basedOn w:val="Table7_3d6050fa-00b1-48b4-bc57-2f4ce5f85434"/>
    <w:uiPriority w:val="99"/>
    <w:pPr>
      <w:pBdr/>
      <w:spacing/>
    </w:pPr>
    <w:rPr/>
    <w:tblPr>
      <w:tblInd w:w="34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Table9" w:customStyle="1">
    <w:name w:val="Table 9"/>
    <w:basedOn w:val="Table8_50ed2555-13b8-405d-8b4e-2b1b71cbdf92"/>
    <w:uiPriority w:val="99"/>
    <w:pPr>
      <w:pBdr/>
      <w:spacing/>
    </w:pPr>
    <w:rPr/>
    <w:tblPr>
      <w:tblInd w:w="39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blPr>
    <w:trPr/>
    <w:tcPr>
      <w:tcBorders/>
      <w:shd w:val="clear" w:color="auto" w:fill="auto"/>
      <w:tcMar/>
      <w:vAlign w:val="top"/>
    </w:tcPr>
  </w:style>
  <w:style w:type="table" w:styleId="NormalTable_3a8046f3-b4b4-4882-bf23-98e0cf552686" w:customStyle="1">
    <w:name w:val="Normal Table_3a8046f3-b4b4-4882-bf23-98e0cf55268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 w:customStyle="1">
    <w:name w:val="Table NoRule 1"/>
    <w:basedOn w:val="NormalTable_3a8046f3-b4b4-4882-bf23-98e0cf55268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NormalTable_aaa6b33f-2203-46a8-ac16-3a17e074bb44" w:customStyle="1">
    <w:name w:val="Normal Table_aaa6b33f-2203-46a8-ac16-3a17e074bb44"/>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4d7a352-7952-4170-8f64-7f51c9da3d5e" w:customStyle="1">
    <w:name w:val="Table NoRule 1_74d7a352-7952-4170-8f64-7f51c9da3d5e"/>
    <w:basedOn w:val="NormalTable_aaa6b33f-2203-46a8-ac16-3a17e074bb44"/>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 w:customStyle="1">
    <w:name w:val="Table NoRule 2"/>
    <w:basedOn w:val="TableNoRule1_74d7a352-7952-4170-8f64-7f51c9da3d5e"/>
    <w:uiPriority w:val="99"/>
    <w:pPr>
      <w:pBdr/>
      <w:spacing/>
    </w:pPr>
    <w:rPr/>
    <w:tblPr>
      <w:tblInd w:w="475" w:type="dxa"/>
      <w:tblBorders/>
      <w:tblCellMar/>
    </w:tblPr>
    <w:trPr/>
    <w:tcPr>
      <w:tcBorders/>
      <w:shd w:val="clear" w:color="auto" w:fill="auto"/>
      <w:tcMar/>
      <w:vAlign w:val="top"/>
    </w:tcPr>
  </w:style>
  <w:style w:type="table" w:styleId="NormalTable_c4457bc7-a3f5-4e53-ba65-7467a96510c6" w:customStyle="1">
    <w:name w:val="Normal Table_c4457bc7-a3f5-4e53-ba65-7467a96510c6"/>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17a622b2-aaa5-49ea-a932-58fc1c81ab21" w:customStyle="1">
    <w:name w:val="Table NoRule 1_17a622b2-aaa5-49ea-a932-58fc1c81ab21"/>
    <w:basedOn w:val="NormalTable_c4457bc7-a3f5-4e53-ba65-7467a96510c6"/>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d0911508-03cc-4807-b461-ce84353c8015" w:customStyle="1">
    <w:name w:val="Table NoRule 2_d0911508-03cc-4807-b461-ce84353c8015"/>
    <w:basedOn w:val="TableNoRule1_17a622b2-aaa5-49ea-a932-58fc1c81ab21"/>
    <w:uiPriority w:val="99"/>
    <w:pPr>
      <w:pBdr/>
      <w:spacing/>
    </w:pPr>
    <w:rPr/>
    <w:tblPr>
      <w:tblInd w:w="475" w:type="dxa"/>
      <w:tblBorders/>
      <w:tblCellMar/>
    </w:tblPr>
    <w:trPr/>
    <w:tcPr>
      <w:tcBorders/>
      <w:shd w:val="clear" w:color="auto" w:fill="auto"/>
      <w:tcMar/>
      <w:vAlign w:val="top"/>
    </w:tcPr>
  </w:style>
  <w:style w:type="table" w:styleId="TableNoRule3" w:customStyle="1">
    <w:name w:val="Table NoRule 3"/>
    <w:basedOn w:val="TableNoRule2_d0911508-03cc-4807-b461-ce84353c8015"/>
    <w:uiPriority w:val="99"/>
    <w:pPr>
      <w:pBdr/>
      <w:spacing/>
    </w:pPr>
    <w:rPr/>
    <w:tblPr>
      <w:tblInd w:w="950" w:type="dxa"/>
      <w:tblBorders/>
      <w:tblCellMar/>
    </w:tblPr>
    <w:trPr/>
    <w:tcPr>
      <w:tcBorders/>
      <w:shd w:val="clear" w:color="auto" w:fill="auto"/>
      <w:tcMar/>
      <w:vAlign w:val="top"/>
    </w:tcPr>
  </w:style>
  <w:style w:type="table" w:styleId="NormalTable_9521e635-053e-41a9-93e0-ad0c51e62d42" w:customStyle="1">
    <w:name w:val="Normal Table_9521e635-053e-41a9-93e0-ad0c51e62d42"/>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21f219c8-aea9-440d-95d0-dcb43c349bf7" w:customStyle="1">
    <w:name w:val="Table NoRule 1_21f219c8-aea9-440d-95d0-dcb43c349bf7"/>
    <w:basedOn w:val="NormalTable_9521e635-053e-41a9-93e0-ad0c51e62d42"/>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2c560a2-4bac-4f48-bc26-c3cf90c27679" w:customStyle="1">
    <w:name w:val="Table NoRule 2_62c560a2-4bac-4f48-bc26-c3cf90c27679"/>
    <w:basedOn w:val="TableNoRule1_21f219c8-aea9-440d-95d0-dcb43c349bf7"/>
    <w:uiPriority w:val="99"/>
    <w:pPr>
      <w:pBdr/>
      <w:spacing/>
    </w:pPr>
    <w:rPr/>
    <w:tblPr>
      <w:tblInd w:w="475" w:type="dxa"/>
      <w:tblBorders/>
      <w:tblCellMar/>
    </w:tblPr>
    <w:trPr/>
    <w:tcPr>
      <w:tcBorders/>
      <w:shd w:val="clear" w:color="auto" w:fill="auto"/>
      <w:tcMar/>
      <w:vAlign w:val="top"/>
    </w:tcPr>
  </w:style>
  <w:style w:type="table" w:styleId="TableNoRule3_e9945ba3-ce25-42a3-ac5b-3e353b62d371" w:customStyle="1">
    <w:name w:val="Table NoRule 3_e9945ba3-ce25-42a3-ac5b-3e353b62d371"/>
    <w:basedOn w:val="TableNoRule2_62c560a2-4bac-4f48-bc26-c3cf90c27679"/>
    <w:uiPriority w:val="99"/>
    <w:pPr>
      <w:pBdr/>
      <w:spacing/>
    </w:pPr>
    <w:rPr/>
    <w:tblPr>
      <w:tblInd w:w="950" w:type="dxa"/>
      <w:tblBorders/>
      <w:tblCellMar/>
    </w:tblPr>
    <w:trPr/>
    <w:tcPr>
      <w:tcBorders/>
      <w:shd w:val="clear" w:color="auto" w:fill="auto"/>
      <w:tcMar/>
      <w:vAlign w:val="top"/>
    </w:tcPr>
  </w:style>
  <w:style w:type="table" w:styleId="TableNoRule4" w:customStyle="1">
    <w:name w:val="Table NoRule 4"/>
    <w:basedOn w:val="TableNoRule3_e9945ba3-ce25-42a3-ac5b-3e353b62d371"/>
    <w:uiPriority w:val="99"/>
    <w:pPr>
      <w:pBdr/>
      <w:spacing/>
    </w:pPr>
    <w:rPr/>
    <w:tblPr>
      <w:tblInd w:w="1440" w:type="dxa"/>
      <w:tblBorders/>
      <w:tblCellMar/>
    </w:tblPr>
    <w:trPr/>
    <w:tcPr>
      <w:tcBorders/>
      <w:shd w:val="clear" w:color="auto" w:fill="auto"/>
      <w:tcMar/>
      <w:vAlign w:val="top"/>
    </w:tcPr>
  </w:style>
  <w:style w:type="table" w:styleId="NormalTable_5e239134-44d7-4245-8670-0003fe05e271" w:customStyle="1">
    <w:name w:val="Normal Table_5e239134-44d7-4245-8670-0003fe05e27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6e3197c6-57a5-492f-b952-8d66b2db2951" w:customStyle="1">
    <w:name w:val="Table NoRule 1_6e3197c6-57a5-492f-b952-8d66b2db2951"/>
    <w:basedOn w:val="NormalTable_5e239134-44d7-4245-8670-0003fe05e27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19aec2ab-31bd-4ef7-8860-2338b6e3213a" w:customStyle="1">
    <w:name w:val="Table NoRule 2_19aec2ab-31bd-4ef7-8860-2338b6e3213a"/>
    <w:basedOn w:val="TableNoRule1_6e3197c6-57a5-492f-b952-8d66b2db2951"/>
    <w:uiPriority w:val="99"/>
    <w:pPr>
      <w:pBdr/>
      <w:spacing/>
    </w:pPr>
    <w:rPr/>
    <w:tblPr>
      <w:tblInd w:w="475" w:type="dxa"/>
      <w:tblBorders/>
      <w:tblCellMar/>
    </w:tblPr>
    <w:trPr/>
    <w:tcPr>
      <w:tcBorders/>
      <w:shd w:val="clear" w:color="auto" w:fill="auto"/>
      <w:tcMar/>
      <w:vAlign w:val="top"/>
    </w:tcPr>
  </w:style>
  <w:style w:type="table" w:styleId="TableNoRule3_3b0b5b4e-cefd-41d5-b3dc-9b0d7ac15042" w:customStyle="1">
    <w:name w:val="Table NoRule 3_3b0b5b4e-cefd-41d5-b3dc-9b0d7ac15042"/>
    <w:basedOn w:val="TableNoRule2_19aec2ab-31bd-4ef7-8860-2338b6e3213a"/>
    <w:uiPriority w:val="99"/>
    <w:pPr>
      <w:pBdr/>
      <w:spacing/>
    </w:pPr>
    <w:rPr/>
    <w:tblPr>
      <w:tblInd w:w="950" w:type="dxa"/>
      <w:tblBorders/>
      <w:tblCellMar/>
    </w:tblPr>
    <w:trPr/>
    <w:tcPr>
      <w:tcBorders/>
      <w:shd w:val="clear" w:color="auto" w:fill="auto"/>
      <w:tcMar/>
      <w:vAlign w:val="top"/>
    </w:tcPr>
  </w:style>
  <w:style w:type="table" w:styleId="TableNoRule4_7b8313c1-4ee0-4699-b256-e2696239d543" w:customStyle="1">
    <w:name w:val="Table NoRule 4_7b8313c1-4ee0-4699-b256-e2696239d543"/>
    <w:basedOn w:val="TableNoRule3_3b0b5b4e-cefd-41d5-b3dc-9b0d7ac15042"/>
    <w:uiPriority w:val="99"/>
    <w:pPr>
      <w:pBdr/>
      <w:spacing/>
    </w:pPr>
    <w:rPr/>
    <w:tblPr>
      <w:tblInd w:w="1440" w:type="dxa"/>
      <w:tblBorders/>
      <w:tblCellMar/>
    </w:tblPr>
    <w:trPr/>
    <w:tcPr>
      <w:tcBorders/>
      <w:shd w:val="clear" w:color="auto" w:fill="auto"/>
      <w:tcMar/>
      <w:vAlign w:val="top"/>
    </w:tcPr>
  </w:style>
  <w:style w:type="table" w:styleId="TableNoRule5" w:customStyle="1">
    <w:name w:val="Table NoRule 5"/>
    <w:basedOn w:val="TableNoRule4_7b8313c1-4ee0-4699-b256-e2696239d543"/>
    <w:uiPriority w:val="99"/>
    <w:pPr>
      <w:pBdr/>
      <w:spacing/>
    </w:pPr>
    <w:rPr/>
    <w:tblPr>
      <w:tblInd w:w="1915" w:type="dxa"/>
      <w:tblBorders/>
      <w:tblCellMar/>
    </w:tblPr>
    <w:trPr/>
    <w:tcPr>
      <w:tcBorders/>
      <w:shd w:val="clear" w:color="auto" w:fill="auto"/>
      <w:tcMar/>
      <w:vAlign w:val="top"/>
    </w:tcPr>
  </w:style>
  <w:style w:type="table" w:styleId="NormalTable_36d209b9-1d8a-4467-a796-749a2689bbc9" w:customStyle="1">
    <w:name w:val="Normal Table_36d209b9-1d8a-4467-a796-749a2689bbc9"/>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3322775e-a52a-4834-8aec-a5857f7ef379" w:customStyle="1">
    <w:name w:val="Table NoRule 1_3322775e-a52a-4834-8aec-a5857f7ef379"/>
    <w:basedOn w:val="NormalTable_36d209b9-1d8a-4467-a796-749a2689bbc9"/>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d65708fd-dc3d-4f0c-b48e-bd0956420d7c" w:customStyle="1">
    <w:name w:val="Table NoRule 2_d65708fd-dc3d-4f0c-b48e-bd0956420d7c"/>
    <w:basedOn w:val="TableNoRule1_3322775e-a52a-4834-8aec-a5857f7ef379"/>
    <w:uiPriority w:val="99"/>
    <w:pPr>
      <w:pBdr/>
      <w:spacing/>
    </w:pPr>
    <w:rPr/>
    <w:tblPr>
      <w:tblInd w:w="475" w:type="dxa"/>
      <w:tblBorders/>
      <w:tblCellMar/>
    </w:tblPr>
    <w:trPr/>
    <w:tcPr>
      <w:tcBorders/>
      <w:shd w:val="clear" w:color="auto" w:fill="auto"/>
      <w:tcMar/>
      <w:vAlign w:val="top"/>
    </w:tcPr>
  </w:style>
  <w:style w:type="table" w:styleId="TableNoRule3_1fcd57f0-9632-4919-9e09-0f3e877c98e7" w:customStyle="1">
    <w:name w:val="Table NoRule 3_1fcd57f0-9632-4919-9e09-0f3e877c98e7"/>
    <w:basedOn w:val="TableNoRule2_d65708fd-dc3d-4f0c-b48e-bd0956420d7c"/>
    <w:uiPriority w:val="99"/>
    <w:pPr>
      <w:pBdr/>
      <w:spacing/>
    </w:pPr>
    <w:rPr/>
    <w:tblPr>
      <w:tblInd w:w="950" w:type="dxa"/>
      <w:tblBorders/>
      <w:tblCellMar/>
    </w:tblPr>
    <w:trPr/>
    <w:tcPr>
      <w:tcBorders/>
      <w:shd w:val="clear" w:color="auto" w:fill="auto"/>
      <w:tcMar/>
      <w:vAlign w:val="top"/>
    </w:tcPr>
  </w:style>
  <w:style w:type="table" w:styleId="TableNoRule4_722d465a-5504-4efe-99bd-f6ca1a0bd754" w:customStyle="1">
    <w:name w:val="Table NoRule 4_722d465a-5504-4efe-99bd-f6ca1a0bd754"/>
    <w:basedOn w:val="TableNoRule3_1fcd57f0-9632-4919-9e09-0f3e877c98e7"/>
    <w:uiPriority w:val="99"/>
    <w:pPr>
      <w:pBdr/>
      <w:spacing/>
    </w:pPr>
    <w:rPr/>
    <w:tblPr>
      <w:tblInd w:w="1440" w:type="dxa"/>
      <w:tblBorders/>
      <w:tblCellMar/>
    </w:tblPr>
    <w:trPr/>
    <w:tcPr>
      <w:tcBorders/>
      <w:shd w:val="clear" w:color="auto" w:fill="auto"/>
      <w:tcMar/>
      <w:vAlign w:val="top"/>
    </w:tcPr>
  </w:style>
  <w:style w:type="table" w:styleId="TableNoRule5_73acf8e6-56a4-4c23-a199-21ca4a51ecfa" w:customStyle="1">
    <w:name w:val="Table NoRule 5_73acf8e6-56a4-4c23-a199-21ca4a51ecfa"/>
    <w:basedOn w:val="TableNoRule4_722d465a-5504-4efe-99bd-f6ca1a0bd754"/>
    <w:uiPriority w:val="99"/>
    <w:pPr>
      <w:pBdr/>
      <w:spacing/>
    </w:pPr>
    <w:rPr/>
    <w:tblPr>
      <w:tblInd w:w="1915" w:type="dxa"/>
      <w:tblBorders/>
      <w:tblCellMar/>
    </w:tblPr>
    <w:trPr/>
    <w:tcPr>
      <w:tcBorders/>
      <w:shd w:val="clear" w:color="auto" w:fill="auto"/>
      <w:tcMar/>
      <w:vAlign w:val="top"/>
    </w:tcPr>
  </w:style>
  <w:style w:type="table" w:styleId="TableNoRule6" w:customStyle="1">
    <w:name w:val="Table NoRule 6"/>
    <w:basedOn w:val="TableNoRule5_73acf8e6-56a4-4c23-a199-21ca4a51ecfa"/>
    <w:uiPriority w:val="99"/>
    <w:pPr>
      <w:pBdr/>
      <w:spacing/>
    </w:pPr>
    <w:rPr/>
    <w:tblPr>
      <w:tblInd w:w="2390" w:type="dxa"/>
      <w:tblBorders/>
      <w:tblCellMar/>
    </w:tblPr>
    <w:trPr/>
    <w:tcPr>
      <w:tcBorders/>
      <w:shd w:val="clear" w:color="auto" w:fill="auto"/>
      <w:tcMar/>
      <w:vAlign w:val="top"/>
    </w:tcPr>
  </w:style>
  <w:style w:type="table" w:styleId="NormalTable_ff89f827-8899-4a7e-b272-f7a08c33e32a" w:customStyle="1">
    <w:name w:val="Normal Table_ff89f827-8899-4a7e-b272-f7a08c33e32a"/>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86290811-5645-4879-b38c-9f60e8f24137" w:customStyle="1">
    <w:name w:val="Table NoRule 1_86290811-5645-4879-b38c-9f60e8f24137"/>
    <w:basedOn w:val="NormalTable_ff89f827-8899-4a7e-b272-f7a08c33e32a"/>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a68f1e1a-480a-4da2-9f64-a1550ba5d1d5" w:customStyle="1">
    <w:name w:val="Table NoRule 2_a68f1e1a-480a-4da2-9f64-a1550ba5d1d5"/>
    <w:basedOn w:val="TableNoRule1_86290811-5645-4879-b38c-9f60e8f24137"/>
    <w:uiPriority w:val="99"/>
    <w:pPr>
      <w:pBdr/>
      <w:spacing/>
    </w:pPr>
    <w:rPr/>
    <w:tblPr>
      <w:tblInd w:w="475" w:type="dxa"/>
      <w:tblBorders/>
      <w:tblCellMar/>
    </w:tblPr>
    <w:trPr/>
    <w:tcPr>
      <w:tcBorders/>
      <w:shd w:val="clear" w:color="auto" w:fill="auto"/>
      <w:tcMar/>
      <w:vAlign w:val="top"/>
    </w:tcPr>
  </w:style>
  <w:style w:type="table" w:styleId="TableNoRule3_7865be9d-7024-4219-9e03-032e29740c06" w:customStyle="1">
    <w:name w:val="Table NoRule 3_7865be9d-7024-4219-9e03-032e29740c06"/>
    <w:basedOn w:val="TableNoRule2_a68f1e1a-480a-4da2-9f64-a1550ba5d1d5"/>
    <w:uiPriority w:val="99"/>
    <w:pPr>
      <w:pBdr/>
      <w:spacing/>
    </w:pPr>
    <w:rPr/>
    <w:tblPr>
      <w:tblInd w:w="950" w:type="dxa"/>
      <w:tblBorders/>
      <w:tblCellMar/>
    </w:tblPr>
    <w:trPr/>
    <w:tcPr>
      <w:tcBorders/>
      <w:shd w:val="clear" w:color="auto" w:fill="auto"/>
      <w:tcMar/>
      <w:vAlign w:val="top"/>
    </w:tcPr>
  </w:style>
  <w:style w:type="table" w:styleId="TableNoRule4_d1617607-e547-4e06-b807-9026846d5876" w:customStyle="1">
    <w:name w:val="Table NoRule 4_d1617607-e547-4e06-b807-9026846d5876"/>
    <w:basedOn w:val="TableNoRule3_7865be9d-7024-4219-9e03-032e29740c06"/>
    <w:uiPriority w:val="99"/>
    <w:pPr>
      <w:pBdr/>
      <w:spacing/>
    </w:pPr>
    <w:rPr/>
    <w:tblPr>
      <w:tblInd w:w="1440" w:type="dxa"/>
      <w:tblBorders/>
      <w:tblCellMar/>
    </w:tblPr>
    <w:trPr/>
    <w:tcPr>
      <w:tcBorders/>
      <w:shd w:val="clear" w:color="auto" w:fill="auto"/>
      <w:tcMar/>
      <w:vAlign w:val="top"/>
    </w:tcPr>
  </w:style>
  <w:style w:type="table" w:styleId="TableNoRule5_f45e1a98-646d-428b-98d6-cd942987640a" w:customStyle="1">
    <w:name w:val="Table NoRule 5_f45e1a98-646d-428b-98d6-cd942987640a"/>
    <w:basedOn w:val="TableNoRule4_d1617607-e547-4e06-b807-9026846d5876"/>
    <w:uiPriority w:val="99"/>
    <w:pPr>
      <w:pBdr/>
      <w:spacing/>
    </w:pPr>
    <w:rPr/>
    <w:tblPr>
      <w:tblInd w:w="1915" w:type="dxa"/>
      <w:tblBorders/>
      <w:tblCellMar/>
    </w:tblPr>
    <w:trPr/>
    <w:tcPr>
      <w:tcBorders/>
      <w:shd w:val="clear" w:color="auto" w:fill="auto"/>
      <w:tcMar/>
      <w:vAlign w:val="top"/>
    </w:tcPr>
  </w:style>
  <w:style w:type="table" w:styleId="TableNoRule6_55620306-9445-4e1f-9b9c-f759667eea95" w:customStyle="1">
    <w:name w:val="Table NoRule 6_55620306-9445-4e1f-9b9c-f759667eea95"/>
    <w:basedOn w:val="TableNoRule5_f45e1a98-646d-428b-98d6-cd942987640a"/>
    <w:uiPriority w:val="99"/>
    <w:pPr>
      <w:pBdr/>
      <w:spacing/>
    </w:pPr>
    <w:rPr/>
    <w:tblPr>
      <w:tblInd w:w="2390" w:type="dxa"/>
      <w:tblBorders/>
      <w:tblCellMar/>
    </w:tblPr>
    <w:trPr/>
    <w:tcPr>
      <w:tcBorders/>
      <w:shd w:val="clear" w:color="auto" w:fill="auto"/>
      <w:tcMar/>
      <w:vAlign w:val="top"/>
    </w:tcPr>
  </w:style>
  <w:style w:type="table" w:styleId="TableNoRule7" w:customStyle="1">
    <w:name w:val="Table NoRule 7"/>
    <w:basedOn w:val="TableNoRule6_55620306-9445-4e1f-9b9c-f759667eea95"/>
    <w:uiPriority w:val="99"/>
    <w:pPr>
      <w:pBdr/>
      <w:spacing/>
    </w:pPr>
    <w:rPr/>
    <w:tblPr>
      <w:tblInd w:w="2880" w:type="dxa"/>
      <w:tblBorders/>
      <w:tblCellMar/>
    </w:tblPr>
    <w:trPr/>
    <w:tcPr>
      <w:tcBorders/>
      <w:shd w:val="clear" w:color="auto" w:fill="auto"/>
      <w:tcMar/>
      <w:vAlign w:val="top"/>
    </w:tcPr>
  </w:style>
  <w:style w:type="table" w:styleId="NormalTable_1e7e4364-f1e5-4124-bc25-b1cc1632f86d" w:customStyle="1">
    <w:name w:val="Normal Table_1e7e4364-f1e5-4124-bc25-b1cc1632f86d"/>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b02ec924-9cce-42be-a0cb-ddb6e46f1526" w:customStyle="1">
    <w:name w:val="Table NoRule 1_b02ec924-9cce-42be-a0cb-ddb6e46f1526"/>
    <w:basedOn w:val="NormalTable_1e7e4364-f1e5-4124-bc25-b1cc1632f86d"/>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6324e56a-4f42-41cf-ace9-125ea91f8ed6" w:customStyle="1">
    <w:name w:val="Table NoRule 2_6324e56a-4f42-41cf-ace9-125ea91f8ed6"/>
    <w:basedOn w:val="TableNoRule1_b02ec924-9cce-42be-a0cb-ddb6e46f1526"/>
    <w:uiPriority w:val="99"/>
    <w:pPr>
      <w:pBdr/>
      <w:spacing/>
    </w:pPr>
    <w:rPr/>
    <w:tblPr>
      <w:tblInd w:w="475" w:type="dxa"/>
      <w:tblBorders/>
      <w:tblCellMar/>
    </w:tblPr>
    <w:trPr/>
    <w:tcPr>
      <w:tcBorders/>
      <w:shd w:val="clear" w:color="auto" w:fill="auto"/>
      <w:tcMar/>
      <w:vAlign w:val="top"/>
    </w:tcPr>
  </w:style>
  <w:style w:type="table" w:styleId="TableNoRule3_ed8b2403-178d-4544-8c51-0c8e89a04532" w:customStyle="1">
    <w:name w:val="Table NoRule 3_ed8b2403-178d-4544-8c51-0c8e89a04532"/>
    <w:basedOn w:val="TableNoRule2_6324e56a-4f42-41cf-ace9-125ea91f8ed6"/>
    <w:uiPriority w:val="99"/>
    <w:pPr>
      <w:pBdr/>
      <w:spacing/>
    </w:pPr>
    <w:rPr/>
    <w:tblPr>
      <w:tblInd w:w="950" w:type="dxa"/>
      <w:tblBorders/>
      <w:tblCellMar/>
    </w:tblPr>
    <w:trPr/>
    <w:tcPr>
      <w:tcBorders/>
      <w:shd w:val="clear" w:color="auto" w:fill="auto"/>
      <w:tcMar/>
      <w:vAlign w:val="top"/>
    </w:tcPr>
  </w:style>
  <w:style w:type="table" w:styleId="TableNoRule4_a1ac6e7b-9cfe-425b-b729-44d77b5bd056" w:customStyle="1">
    <w:name w:val="Table NoRule 4_a1ac6e7b-9cfe-425b-b729-44d77b5bd056"/>
    <w:basedOn w:val="TableNoRule3_ed8b2403-178d-4544-8c51-0c8e89a04532"/>
    <w:uiPriority w:val="99"/>
    <w:pPr>
      <w:pBdr/>
      <w:spacing/>
    </w:pPr>
    <w:rPr/>
    <w:tblPr>
      <w:tblInd w:w="1440" w:type="dxa"/>
      <w:tblBorders/>
      <w:tblCellMar/>
    </w:tblPr>
    <w:trPr/>
    <w:tcPr>
      <w:tcBorders/>
      <w:shd w:val="clear" w:color="auto" w:fill="auto"/>
      <w:tcMar/>
      <w:vAlign w:val="top"/>
    </w:tcPr>
  </w:style>
  <w:style w:type="table" w:styleId="TableNoRule5_faec1c3c-be2a-48f2-9250-b8971dceb361" w:customStyle="1">
    <w:name w:val="Table NoRule 5_faec1c3c-be2a-48f2-9250-b8971dceb361"/>
    <w:basedOn w:val="TableNoRule4_a1ac6e7b-9cfe-425b-b729-44d77b5bd056"/>
    <w:uiPriority w:val="99"/>
    <w:pPr>
      <w:pBdr/>
      <w:spacing/>
    </w:pPr>
    <w:rPr/>
    <w:tblPr>
      <w:tblInd w:w="1915" w:type="dxa"/>
      <w:tblBorders/>
      <w:tblCellMar/>
    </w:tblPr>
    <w:trPr/>
    <w:tcPr>
      <w:tcBorders/>
      <w:shd w:val="clear" w:color="auto" w:fill="auto"/>
      <w:tcMar/>
      <w:vAlign w:val="top"/>
    </w:tcPr>
  </w:style>
  <w:style w:type="table" w:styleId="TableNoRule6_94f831ef-1947-48b0-bbfb-e8fb8ea735df" w:customStyle="1">
    <w:name w:val="Table NoRule 6_94f831ef-1947-48b0-bbfb-e8fb8ea735df"/>
    <w:basedOn w:val="TableNoRule5_faec1c3c-be2a-48f2-9250-b8971dceb361"/>
    <w:uiPriority w:val="99"/>
    <w:pPr>
      <w:pBdr/>
      <w:spacing/>
    </w:pPr>
    <w:rPr/>
    <w:tblPr>
      <w:tblInd w:w="2390" w:type="dxa"/>
      <w:tblBorders/>
      <w:tblCellMar/>
    </w:tblPr>
    <w:trPr/>
    <w:tcPr>
      <w:tcBorders/>
      <w:shd w:val="clear" w:color="auto" w:fill="auto"/>
      <w:tcMar/>
      <w:vAlign w:val="top"/>
    </w:tcPr>
  </w:style>
  <w:style w:type="table" w:styleId="TableNoRule7_768db669-69ce-451f-abe7-64fe905a91f1" w:customStyle="1">
    <w:name w:val="Table NoRule 7_768db669-69ce-451f-abe7-64fe905a91f1"/>
    <w:basedOn w:val="TableNoRule6_94f831ef-1947-48b0-bbfb-e8fb8ea735df"/>
    <w:uiPriority w:val="99"/>
    <w:pPr>
      <w:pBdr/>
      <w:spacing/>
    </w:pPr>
    <w:rPr/>
    <w:tblPr>
      <w:tblInd w:w="2880" w:type="dxa"/>
      <w:tblBorders/>
      <w:tblCellMar/>
    </w:tblPr>
    <w:trPr/>
    <w:tcPr>
      <w:tcBorders/>
      <w:shd w:val="clear" w:color="auto" w:fill="auto"/>
      <w:tcMar/>
      <w:vAlign w:val="top"/>
    </w:tcPr>
  </w:style>
  <w:style w:type="table" w:styleId="TableNoRule8" w:customStyle="1">
    <w:name w:val="Table NoRule 8"/>
    <w:basedOn w:val="TableNoRule7_768db669-69ce-451f-abe7-64fe905a91f1"/>
    <w:uiPriority w:val="99"/>
    <w:pPr>
      <w:pBdr/>
      <w:spacing/>
    </w:pPr>
    <w:rPr/>
    <w:tblPr>
      <w:tblInd w:w="3355" w:type="dxa"/>
      <w:tblBorders/>
      <w:tblCellMar/>
    </w:tblPr>
    <w:trPr/>
    <w:tcPr>
      <w:tcBorders/>
      <w:shd w:val="clear" w:color="auto" w:fill="auto"/>
      <w:tcMar/>
      <w:vAlign w:val="top"/>
    </w:tcPr>
  </w:style>
  <w:style w:type="table" w:styleId="NormalTable_8b013ef2-9034-4d3b-b797-5c807f6df3f1" w:customStyle="1">
    <w:name w:val="Normal Table_8b013ef2-9034-4d3b-b797-5c807f6df3f1"/>
    <w:uiPriority w:val="99"/>
    <w:semiHidden/>
    <w:unhideWhenUsed/>
    <w:pPr>
      <w:pBdr/>
      <w:spacing/>
    </w:pPr>
    <w:rPr/>
    <w:tblPr>
      <w:tblInd w:w="0" w:type="dxa"/>
      <w:tblBorders/>
      <w:tblCellMar>
        <w:top w:w="0" w:type="dxa"/>
        <w:left w:w="108" w:type="dxa"/>
        <w:bottom w:w="0" w:type="dxa"/>
        <w:right w:w="108" w:type="dxa"/>
      </w:tblCellMar>
    </w:tblPr>
    <w:trPr/>
    <w:tcPr>
      <w:tcBorders/>
      <w:tcMar/>
      <w:vAlign w:val="top"/>
    </w:tcPr>
  </w:style>
  <w:style w:type="table" w:styleId="TableNoRule1_77aca967-53a8-4d91-a157-e09d228c041a" w:customStyle="1">
    <w:name w:val="Table NoRule 1_77aca967-53a8-4d91-a157-e09d228c041a"/>
    <w:basedOn w:val="NormalTable_8b013ef2-9034-4d3b-b797-5c807f6df3f1"/>
    <w:uiPriority w:val="99"/>
    <w:pPr>
      <w:pBdr/>
      <w:spacing w:before="0" w:after="0"/>
      <w:jc w:val="left"/>
    </w:pPr>
    <w:rPr/>
    <w:tblPr>
      <w:tblBorders/>
      <w:tblCellMar>
        <w:left w:w="0" w:type="dxa"/>
        <w:right w:w="0" w:type="dxa"/>
      </w:tblCellMar>
    </w:tblPr>
    <w:trPr/>
    <w:tcPr>
      <w:tcBorders/>
      <w:shd w:val="clear" w:color="auto" w:fill="auto"/>
      <w:tcMar/>
      <w:vAlign w:val="top"/>
    </w:tcPr>
  </w:style>
  <w:style w:type="table" w:styleId="TableNoRule2_8d8c7c6a-b42d-446e-8e82-0338de13c2f2" w:customStyle="1">
    <w:name w:val="Table NoRule 2_8d8c7c6a-b42d-446e-8e82-0338de13c2f2"/>
    <w:basedOn w:val="TableNoRule1_77aca967-53a8-4d91-a157-e09d228c041a"/>
    <w:uiPriority w:val="99"/>
    <w:pPr>
      <w:pBdr/>
      <w:spacing/>
    </w:pPr>
    <w:rPr/>
    <w:tblPr>
      <w:tblInd w:w="475" w:type="dxa"/>
      <w:tblBorders/>
      <w:tblCellMar/>
    </w:tblPr>
    <w:trPr/>
    <w:tcPr>
      <w:tcBorders/>
      <w:shd w:val="clear" w:color="auto" w:fill="auto"/>
      <w:tcMar/>
      <w:vAlign w:val="top"/>
    </w:tcPr>
  </w:style>
  <w:style w:type="table" w:styleId="TableNoRule3_a58fd37d-9e62-4a35-923c-f1f0fa96adcf" w:customStyle="1">
    <w:name w:val="Table NoRule 3_a58fd37d-9e62-4a35-923c-f1f0fa96adcf"/>
    <w:basedOn w:val="TableNoRule2_8d8c7c6a-b42d-446e-8e82-0338de13c2f2"/>
    <w:uiPriority w:val="99"/>
    <w:pPr>
      <w:pBdr/>
      <w:spacing/>
    </w:pPr>
    <w:rPr/>
    <w:tblPr>
      <w:tblInd w:w="950" w:type="dxa"/>
      <w:tblBorders/>
      <w:tblCellMar/>
    </w:tblPr>
    <w:trPr/>
    <w:tcPr>
      <w:tcBorders/>
      <w:shd w:val="clear" w:color="auto" w:fill="auto"/>
      <w:tcMar/>
      <w:vAlign w:val="top"/>
    </w:tcPr>
  </w:style>
  <w:style w:type="table" w:styleId="TableNoRule4_42a981ac-385a-4789-b7d1-7383c2db16d2" w:customStyle="1">
    <w:name w:val="Table NoRule 4_42a981ac-385a-4789-b7d1-7383c2db16d2"/>
    <w:basedOn w:val="TableNoRule3_a58fd37d-9e62-4a35-923c-f1f0fa96adcf"/>
    <w:uiPriority w:val="99"/>
    <w:pPr>
      <w:pBdr/>
      <w:spacing/>
    </w:pPr>
    <w:rPr/>
    <w:tblPr>
      <w:tblInd w:w="1440" w:type="dxa"/>
      <w:tblBorders/>
      <w:tblCellMar/>
    </w:tblPr>
    <w:trPr/>
    <w:tcPr>
      <w:tcBorders/>
      <w:shd w:val="clear" w:color="auto" w:fill="auto"/>
      <w:tcMar/>
      <w:vAlign w:val="top"/>
    </w:tcPr>
  </w:style>
  <w:style w:type="table" w:styleId="TableNoRule5_ed9cb283-f84f-4bc0-a556-689e58d96303" w:customStyle="1">
    <w:name w:val="Table NoRule 5_ed9cb283-f84f-4bc0-a556-689e58d96303"/>
    <w:basedOn w:val="TableNoRule4_42a981ac-385a-4789-b7d1-7383c2db16d2"/>
    <w:uiPriority w:val="99"/>
    <w:pPr>
      <w:pBdr/>
      <w:spacing/>
    </w:pPr>
    <w:rPr/>
    <w:tblPr>
      <w:tblInd w:w="1915" w:type="dxa"/>
      <w:tblBorders/>
      <w:tblCellMar/>
    </w:tblPr>
    <w:trPr/>
    <w:tcPr>
      <w:tcBorders/>
      <w:shd w:val="clear" w:color="auto" w:fill="auto"/>
      <w:tcMar/>
      <w:vAlign w:val="top"/>
    </w:tcPr>
  </w:style>
  <w:style w:type="table" w:styleId="TableNoRule6_14ff1723-70ec-45ef-9c20-9effe9bc0f21" w:customStyle="1">
    <w:name w:val="Table NoRule 6_14ff1723-70ec-45ef-9c20-9effe9bc0f21"/>
    <w:basedOn w:val="TableNoRule5_ed9cb283-f84f-4bc0-a556-689e58d96303"/>
    <w:uiPriority w:val="99"/>
    <w:pPr>
      <w:pBdr/>
      <w:spacing/>
    </w:pPr>
    <w:rPr/>
    <w:tblPr>
      <w:tblInd w:w="2390" w:type="dxa"/>
      <w:tblBorders/>
      <w:tblCellMar/>
    </w:tblPr>
    <w:trPr/>
    <w:tcPr>
      <w:tcBorders/>
      <w:shd w:val="clear" w:color="auto" w:fill="auto"/>
      <w:tcMar/>
      <w:vAlign w:val="top"/>
    </w:tcPr>
  </w:style>
  <w:style w:type="table" w:styleId="TableNoRule7_fb9bc93c-c7ed-4f44-9e7e-0190124fe614" w:customStyle="1">
    <w:name w:val="Table NoRule 7_fb9bc93c-c7ed-4f44-9e7e-0190124fe614"/>
    <w:basedOn w:val="TableNoRule6_14ff1723-70ec-45ef-9c20-9effe9bc0f21"/>
    <w:uiPriority w:val="99"/>
    <w:pPr>
      <w:pBdr/>
      <w:spacing/>
    </w:pPr>
    <w:rPr/>
    <w:tblPr>
      <w:tblInd w:w="2880" w:type="dxa"/>
      <w:tblBorders/>
      <w:tblCellMar/>
    </w:tblPr>
    <w:trPr/>
    <w:tcPr>
      <w:tcBorders/>
      <w:shd w:val="clear" w:color="auto" w:fill="auto"/>
      <w:tcMar/>
      <w:vAlign w:val="top"/>
    </w:tcPr>
  </w:style>
  <w:style w:type="table" w:styleId="TableNoRule8_313dc568-4d8a-4afe-94ed-2e4f9d1e6e84" w:customStyle="1">
    <w:name w:val="Table NoRule 8_313dc568-4d8a-4afe-94ed-2e4f9d1e6e84"/>
    <w:basedOn w:val="TableNoRule7_fb9bc93c-c7ed-4f44-9e7e-0190124fe614"/>
    <w:uiPriority w:val="99"/>
    <w:pPr>
      <w:pBdr/>
      <w:spacing/>
    </w:pPr>
    <w:rPr/>
    <w:tblPr>
      <w:tblInd w:w="3355" w:type="dxa"/>
      <w:tblBorders/>
      <w:tblCellMar/>
    </w:tblPr>
    <w:trPr/>
    <w:tcPr>
      <w:tcBorders/>
      <w:shd w:val="clear" w:color="auto" w:fill="auto"/>
      <w:tcMar/>
      <w:vAlign w:val="top"/>
    </w:tcPr>
  </w:style>
  <w:style w:type="table" w:styleId="TableNoRule9" w:customStyle="1">
    <w:name w:val="Table NoRule 9"/>
    <w:basedOn w:val="TableNoRule8_313dc568-4d8a-4afe-94ed-2e4f9d1e6e84"/>
    <w:uiPriority w:val="99"/>
    <w:pPr>
      <w:pBdr/>
      <w:spacing/>
    </w:pPr>
    <w:rPr/>
    <w:tblPr>
      <w:tblInd w:w="3830" w:type="dxa"/>
      <w:tblBorders/>
      <w:tblCellMar/>
    </w:tblPr>
    <w:trPr/>
    <w:tcPr>
      <w:tcBorders/>
      <w:shd w:val="clear" w:color="auto" w:fill="auto"/>
      <w:tcMar/>
      <w:vAlign w:val="top"/>
    </w:tcPr>
  </w:style>
  <w:style w:type="paragraph" w:styleId="PageBreakB4Table" w:customStyle="1">
    <w:name w:val="PageBreakB4Table"/>
    <w:basedOn w:val="Normal"/>
    <w:qFormat/>
    <w:pPr>
      <w:pBdr/>
      <w:spacing w:before="0" w:after="0"/>
    </w:pPr>
    <w:rPr>
      <w:rFonts w:ascii="Cambria Math" w:hAnsi="Cambria Math"/>
      <w:sz w:val="6"/>
    </w:rPr>
  </w:style>
  <w:style w:type="paragraph" w:styleId="ImageAboveCaptionLeft" w:customStyle="1">
    <w:name w:val="Image Above Caption Left"/>
    <w:next w:val="Block1"/>
    <w:qFormat/>
    <w:pPr>
      <w:keepNext/>
      <w:pBdr/>
      <w:spacing/>
      <w:jc w:val="left"/>
    </w:pPr>
    <w:rPr>
      <w:rFonts w:ascii="Calibri" w:hAnsi="Calibri"/>
      <w:noProof/>
    </w:rPr>
  </w:style>
  <w:style w:type="paragraph" w:styleId="ImageAboveCaptionCenter" w:customStyle="1">
    <w:name w:val="Image Above Caption Center"/>
    <w:basedOn w:val="ImageAboveCaptionLeft"/>
    <w:next w:val="Block1"/>
    <w:qFormat/>
    <w:pPr>
      <w:pBdr/>
      <w:spacing/>
      <w:jc w:val="center"/>
    </w:pPr>
    <w:rPr/>
  </w:style>
  <w:style w:type="paragraph" w:styleId="ImageCaptionAboveCenter" w:customStyle="1">
    <w:name w:val="Image Caption Above Center"/>
    <w:basedOn w:val="ImageCaptionAboveLeft"/>
    <w:next w:val="Block1"/>
    <w:qFormat/>
    <w:pPr>
      <w:pBdr/>
      <w:spacing/>
      <w:jc w:val="center"/>
    </w:pPr>
    <w:rPr/>
  </w:style>
  <w:style w:type="paragraph" w:styleId="ImageCaptionAboveRight" w:customStyle="1">
    <w:name w:val="Image Caption Above Right"/>
    <w:basedOn w:val="ImageCaptionAboveLeft"/>
    <w:next w:val="Block1"/>
    <w:qFormat/>
    <w:pPr>
      <w:pBdr/>
      <w:spacing/>
      <w:jc w:val="right"/>
    </w:pPr>
    <w:rPr/>
  </w:style>
  <w:style w:type="paragraph" w:styleId="ImageAboveCaptionRight" w:customStyle="1">
    <w:name w:val="Image Above Caption Right"/>
    <w:basedOn w:val="ImageAboveCaptionLeft"/>
    <w:qFormat/>
    <w:pPr>
      <w:pBdr/>
      <w:spacing/>
      <w:jc w:val="right"/>
    </w:pPr>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customXml" Target="../customXml/item1.xml"/><Relationship Id="rId2" Type="http://schemas.openxmlformats.org/officeDocument/2006/relationships/footer" Target="footer2.xml"/><Relationship Id="rId6" Type="http://schemas.openxmlformats.org/officeDocument/2006/relationships/numbering" Target="numbering.xml"/><Relationship Id="rId1" Type="http://schemas.openxmlformats.org/officeDocument/2006/relationships/header" Target="header1.xml"/><Relationship Id="rId5"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3000"/>
                <a:satMod val="102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tint val="93000"/>
                <a:shade val="98000"/>
              </a:schemeClr>
            </a:gs>
            <a:gs pos="50000">
              <a:schemeClr val="phClr">
                <a:lumMod val="103000"/>
                <a:satMod val="130000"/>
                <a:tint val="98000"/>
                <a:shade val="90000"/>
              </a:schemeClr>
            </a:gs>
            <a:gs pos="100000">
              <a:schemeClr val="phClr">
                <a:satMod val="120000"/>
                <a:shade val="63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FDF5A8BB226F4EBD51E67417E3C4B3" ma:contentTypeVersion="17" ma:contentTypeDescription="Create a new document." ma:contentTypeScope="" ma:versionID="ed319599a28f4ca08f99f71534e79aaf">
  <xsd:schema xmlns:xsd="http://www.w3.org/2001/XMLSchema" xmlns:xs="http://www.w3.org/2001/XMLSchema" xmlns:p="http://schemas.microsoft.com/office/2006/metadata/properties" xmlns:ns2="0727b6f6-793a-42d9-a8a5-7bf7fd3a42c8" xmlns:ns3="a4648fbc-b15f-476a-b08d-26dfb95f12cd" targetNamespace="http://schemas.microsoft.com/office/2006/metadata/properties" ma:root="true" ma:fieldsID="dcb7a73de0da279fee244efd9e743870" ns2:_="" ns3:_="">
    <xsd:import namespace="0727b6f6-793a-42d9-a8a5-7bf7fd3a42c8"/>
    <xsd:import namespace="a4648fbc-b15f-476a-b08d-26dfb95f12c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LengthInSeconds"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7b6f6-793a-42d9-a8a5-7bf7fd3a42c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14ac2825-e0eb-4100-99fd-518c4f8033b2}" ma:internalName="TaxCatchAll" ma:showField="CatchAllData" ma:web="0727b6f6-793a-42d9-a8a5-7bf7fd3a42c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4648fbc-b15f-476a-b08d-26dfb95f12c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9bc88be-224e-47fb-bcb7-26698573bed1"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9F13DC-BECD-436F-8546-E0629F8A6BBC}"/>
</file>

<file path=customXml/itemProps2.xml><?xml version="1.0" encoding="utf-8"?>
<ds:datastoreItem xmlns:ds="http://schemas.openxmlformats.org/officeDocument/2006/customXml" ds:itemID="{AA7CCEE5-0869-46D1-ADD4-C61A33FFE1DF}"/>
</file>

<file path=docProps/app.xml><?xml version="1.0" encoding="utf-8"?>
<Properties xmlns:vt="http://schemas.openxmlformats.org/officeDocument/2006/docPropsVTypes" xmlns="http://schemas.openxmlformats.org/officeDocument/2006/extended-properties">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2024-03-07T18:10:36Z</dcterms:created>
  <dcterms:modified xsi:type="dcterms:W3CDTF">2024-03-07T18:10:36Z</dcterms:modified>
</cp:coreProperties>
</file>