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B626D" w14:textId="77777777" w:rsidR="00A93A58" w:rsidRDefault="00A93A58" w:rsidP="00A93A58">
      <w:pPr>
        <w:pStyle w:val="Title"/>
        <w:rPr>
          <w:kern w:val="2"/>
          <w14:ligatures w14:val="standardContextual"/>
        </w:rPr>
      </w:pPr>
      <w:r>
        <w:rPr>
          <w:sz w:val="48"/>
          <w:szCs w:val="48"/>
        </w:rPr>
        <w:t>616 Taproom Offering Memorandum</w:t>
      </w:r>
    </w:p>
    <w:p w14:paraId="7C5B0ACE" w14:textId="77777777" w:rsidR="00A93A58" w:rsidRDefault="00A93A58">
      <w:pPr>
        <w:pStyle w:val="Subtitle"/>
        <w:rPr>
          <w:kern w:val="2"/>
          <w14:ligatures w14:val="standardContextual"/>
        </w:rPr>
      </w:pPr>
      <w:r>
        <w:t>616 North Avenue, Millvale, PA 15209 — Turnkey Mixed-Use Hospitality &amp; Residential Asset — Offered at $499,999</w:t>
      </w:r>
    </w:p>
    <w:p w14:paraId="028909AF" w14:textId="77777777" w:rsidR="00A93A58" w:rsidRPr="00843ADA" w:rsidRDefault="00A93A58">
      <w:pPr>
        <w:pStyle w:val="Heading2"/>
        <w:rPr>
          <w:rFonts w:cstheme="minorBidi"/>
          <w:b/>
          <w:bCs/>
          <w:kern w:val="2"/>
          <w14:ligatures w14:val="standardContextual"/>
        </w:rPr>
      </w:pPr>
      <w:r w:rsidRPr="00843ADA">
        <w:rPr>
          <w:rFonts w:cstheme="minorBidi"/>
          <w:b/>
          <w:bCs/>
        </w:rPr>
        <w:t>Executive Overview</w:t>
      </w:r>
    </w:p>
    <w:p w14:paraId="0104823A" w14:textId="77777777" w:rsidR="00A93A58" w:rsidRPr="00AB1510" w:rsidRDefault="00A93A58">
      <w:pPr>
        <w:rPr>
          <w:kern w:val="2"/>
          <w:sz w:val="26"/>
          <w:szCs w:val="26"/>
          <w14:ligatures w14:val="standardContextual"/>
        </w:rPr>
      </w:pPr>
      <w:r w:rsidRPr="00AB1510">
        <w:rPr>
          <w:sz w:val="26"/>
          <w:szCs w:val="26"/>
        </w:rPr>
        <w:t>616 Taproom presents the opportunity to acquire a turnkey hospitality business together with a detached, income-producing duplex on a single parcel in the heart of Millvale’s active business corridor. Formerly operated as "The Barking Shark," the property combines immediate operating income, residential revenue, and meaningful upside potential, creating a compelling mixed-use investment for owner-operators and hospitality-focused investors.</w:t>
      </w:r>
    </w:p>
    <w:p w14:paraId="072C5CA2" w14:textId="77777777" w:rsidR="00A93A58" w:rsidRPr="00843ADA" w:rsidRDefault="00A93A58">
      <w:pPr>
        <w:pStyle w:val="Heading2"/>
        <w:rPr>
          <w:rFonts w:cstheme="minorBidi"/>
          <w:b/>
          <w:bCs/>
          <w:kern w:val="2"/>
          <w:sz w:val="30"/>
          <w:szCs w:val="30"/>
          <w14:ligatures w14:val="standardContextual"/>
        </w:rPr>
      </w:pPr>
      <w:r w:rsidRPr="00843ADA">
        <w:rPr>
          <w:rFonts w:cstheme="minorBidi"/>
          <w:b/>
          <w:bCs/>
          <w:sz w:val="30"/>
          <w:szCs w:val="30"/>
        </w:rPr>
        <w:t>Key Deal Points</w:t>
      </w:r>
    </w:p>
    <w:p w14:paraId="1C55891E" w14:textId="77777777" w:rsidR="00A93A58" w:rsidRPr="00083692" w:rsidRDefault="00A93A58" w:rsidP="00A93A58">
      <w:pPr>
        <w:pStyle w:val="ListParagraph"/>
        <w:numPr>
          <w:ilvl w:val="0"/>
          <w:numId w:val="7"/>
        </w:numPr>
        <w:rPr>
          <w:kern w:val="2"/>
          <w:sz w:val="28"/>
          <w:szCs w:val="28"/>
          <w14:ligatures w14:val="standardContextual"/>
        </w:rPr>
      </w:pPr>
      <w:r w:rsidRPr="00083692">
        <w:rPr>
          <w:sz w:val="28"/>
          <w:szCs w:val="28"/>
        </w:rPr>
        <w:t>Asking Price: $499,999</w:t>
      </w:r>
    </w:p>
    <w:p w14:paraId="187A0204" w14:textId="77777777" w:rsidR="00A93A58" w:rsidRPr="00083692" w:rsidRDefault="00A93A58" w:rsidP="00A93A58">
      <w:pPr>
        <w:pStyle w:val="ListParagraph"/>
        <w:numPr>
          <w:ilvl w:val="0"/>
          <w:numId w:val="7"/>
        </w:numPr>
        <w:rPr>
          <w:sz w:val="28"/>
          <w:szCs w:val="28"/>
        </w:rPr>
      </w:pPr>
      <w:r w:rsidRPr="00083692">
        <w:rPr>
          <w:sz w:val="28"/>
          <w:szCs w:val="28"/>
        </w:rPr>
        <w:t>Seller Financing Available for Qualified Buyers</w:t>
      </w:r>
    </w:p>
    <w:p w14:paraId="1BAC1D2F" w14:textId="77777777" w:rsidR="00A93A58" w:rsidRPr="00083692" w:rsidRDefault="00A93A58" w:rsidP="00A93A58">
      <w:pPr>
        <w:pStyle w:val="ListParagraph"/>
        <w:numPr>
          <w:ilvl w:val="0"/>
          <w:numId w:val="7"/>
        </w:numPr>
        <w:rPr>
          <w:sz w:val="28"/>
          <w:szCs w:val="28"/>
        </w:rPr>
      </w:pPr>
      <w:r w:rsidRPr="00083692">
        <w:rPr>
          <w:sz w:val="28"/>
          <w:szCs w:val="28"/>
        </w:rPr>
        <w:t>Turnkey Bar/Restaurant Operation Plus Detached Duplex</w:t>
      </w:r>
    </w:p>
    <w:p w14:paraId="34E863B9" w14:textId="77777777" w:rsidR="00A93A58" w:rsidRPr="00083692" w:rsidRDefault="00A93A58" w:rsidP="00A93A58">
      <w:pPr>
        <w:pStyle w:val="ListParagraph"/>
        <w:numPr>
          <w:ilvl w:val="0"/>
          <w:numId w:val="7"/>
        </w:numPr>
        <w:rPr>
          <w:sz w:val="28"/>
          <w:szCs w:val="28"/>
        </w:rPr>
      </w:pPr>
      <w:r w:rsidRPr="00083692">
        <w:rPr>
          <w:sz w:val="28"/>
          <w:szCs w:val="28"/>
        </w:rPr>
        <w:t>Projected NOI: $102,960 Year 1 / $144,300 Year 2</w:t>
      </w:r>
    </w:p>
    <w:p w14:paraId="52468D44" w14:textId="77777777" w:rsidR="00A93A58" w:rsidRPr="00083692" w:rsidRDefault="00A93A58" w:rsidP="00A93A58">
      <w:pPr>
        <w:pStyle w:val="ListParagraph"/>
        <w:numPr>
          <w:ilvl w:val="0"/>
          <w:numId w:val="7"/>
        </w:numPr>
        <w:rPr>
          <w:sz w:val="28"/>
          <w:szCs w:val="28"/>
        </w:rPr>
      </w:pPr>
      <w:r w:rsidRPr="00083692">
        <w:rPr>
          <w:sz w:val="28"/>
          <w:szCs w:val="28"/>
        </w:rPr>
        <w:t>Projected Net Monthly Take-Home: $6,894 Year 1 / $10,339 Year 2</w:t>
      </w:r>
    </w:p>
    <w:p w14:paraId="77A65A78" w14:textId="77777777" w:rsidR="00A93A58" w:rsidRPr="00083692" w:rsidRDefault="00A93A58" w:rsidP="00A93A58">
      <w:pPr>
        <w:pStyle w:val="ListParagraph"/>
        <w:numPr>
          <w:ilvl w:val="0"/>
          <w:numId w:val="7"/>
        </w:numPr>
        <w:rPr>
          <w:sz w:val="28"/>
          <w:szCs w:val="28"/>
        </w:rPr>
      </w:pPr>
      <w:r w:rsidRPr="00083692">
        <w:rPr>
          <w:sz w:val="28"/>
          <w:szCs w:val="28"/>
        </w:rPr>
        <w:t>Transition Support from Well-Known Chef for Up to Six Months</w:t>
      </w:r>
    </w:p>
    <w:p w14:paraId="459F0557" w14:textId="77777777" w:rsidR="00117FB9" w:rsidRPr="00843ADA" w:rsidRDefault="00117FB9" w:rsidP="00117FB9">
      <w:pPr>
        <w:pStyle w:val="Heading2"/>
        <w:rPr>
          <w:b/>
          <w:bCs/>
          <w:sz w:val="30"/>
          <w:szCs w:val="30"/>
        </w:rPr>
      </w:pPr>
      <w:r w:rsidRPr="00843ADA">
        <w:rPr>
          <w:b/>
          <w:bCs/>
          <w:sz w:val="30"/>
          <w:szCs w:val="30"/>
        </w:rPr>
        <w:t>Financial Performance &amp; Projections</w:t>
      </w:r>
    </w:p>
    <w:p w14:paraId="604CB7C3" w14:textId="77777777" w:rsidR="00117FB9" w:rsidRPr="00AB1510" w:rsidRDefault="00117FB9" w:rsidP="00117FB9">
      <w:pPr>
        <w:rPr>
          <w:sz w:val="26"/>
          <w:szCs w:val="26"/>
        </w:rPr>
      </w:pPr>
      <w:r w:rsidRPr="00AB1510">
        <w:rPr>
          <w:sz w:val="26"/>
          <w:szCs w:val="26"/>
        </w:rPr>
        <w:t>Projections are based on a conservative 35% expense ratio, which covers cost of goods, labor, maintenance, and current property taxes ($6,019).</w:t>
      </w:r>
    </w:p>
    <w:tbl>
      <w:tblPr>
        <w:tblStyle w:val="PlainTable1"/>
        <w:tblW w:w="0" w:type="auto"/>
        <w:tblLook w:val="0400" w:firstRow="0" w:lastRow="0" w:firstColumn="0" w:lastColumn="0" w:noHBand="0" w:noVBand="1"/>
      </w:tblPr>
      <w:tblGrid>
        <w:gridCol w:w="3116"/>
        <w:gridCol w:w="3117"/>
        <w:gridCol w:w="3117"/>
      </w:tblGrid>
      <w:tr w:rsidR="00117FB9" w:rsidRPr="00AB1510" w14:paraId="4EBD22BA" w14:textId="77777777" w:rsidTr="00117FB9">
        <w:trPr>
          <w:cnfStyle w:val="000000100000" w:firstRow="0" w:lastRow="0" w:firstColumn="0" w:lastColumn="0" w:oddVBand="0" w:evenVBand="0" w:oddHBand="1" w:evenHBand="0" w:firstRowFirstColumn="0" w:firstRowLastColumn="0" w:lastRowFirstColumn="0" w:lastRowLastColumn="0"/>
        </w:trPr>
        <w:tc>
          <w:tcPr>
            <w:tcW w:w="3116" w:type="dxa"/>
          </w:tcPr>
          <w:p w14:paraId="2206B64E" w14:textId="43E0CE6D" w:rsidR="00117FB9" w:rsidRPr="00AB1510" w:rsidRDefault="00117FB9" w:rsidP="00117FB9">
            <w:pPr>
              <w:rPr>
                <w:sz w:val="26"/>
                <w:szCs w:val="26"/>
              </w:rPr>
            </w:pPr>
            <w:r w:rsidRPr="00AB1510">
              <w:rPr>
                <w:sz w:val="26"/>
                <w:szCs w:val="26"/>
              </w:rPr>
              <w:t>Income Source</w:t>
            </w:r>
          </w:p>
        </w:tc>
        <w:tc>
          <w:tcPr>
            <w:tcW w:w="3117" w:type="dxa"/>
          </w:tcPr>
          <w:p w14:paraId="768C93F1" w14:textId="1FC8A425" w:rsidR="00117FB9" w:rsidRPr="00AB1510" w:rsidRDefault="00117FB9" w:rsidP="00117FB9">
            <w:pPr>
              <w:rPr>
                <w:sz w:val="26"/>
                <w:szCs w:val="26"/>
              </w:rPr>
            </w:pPr>
            <w:r w:rsidRPr="00AB1510">
              <w:rPr>
                <w:sz w:val="26"/>
                <w:szCs w:val="26"/>
              </w:rPr>
              <w:t>Year 1 (Conservative)</w:t>
            </w:r>
          </w:p>
        </w:tc>
        <w:tc>
          <w:tcPr>
            <w:tcW w:w="3117" w:type="dxa"/>
          </w:tcPr>
          <w:p w14:paraId="0A147AF1" w14:textId="0DD70CA5" w:rsidR="00117FB9" w:rsidRPr="00AB1510" w:rsidRDefault="00117FB9" w:rsidP="00117FB9">
            <w:pPr>
              <w:rPr>
                <w:sz w:val="26"/>
                <w:szCs w:val="26"/>
              </w:rPr>
            </w:pPr>
            <w:r w:rsidRPr="00AB1510">
              <w:rPr>
                <w:sz w:val="26"/>
                <w:szCs w:val="26"/>
              </w:rPr>
              <w:t xml:space="preserve">Year 2 </w:t>
            </w:r>
            <w:r w:rsidR="000628A3" w:rsidRPr="00AB1510">
              <w:rPr>
                <w:sz w:val="26"/>
                <w:szCs w:val="26"/>
              </w:rPr>
              <w:t>(S</w:t>
            </w:r>
            <w:r w:rsidRPr="00AB1510">
              <w:rPr>
                <w:sz w:val="26"/>
                <w:szCs w:val="26"/>
              </w:rPr>
              <w:t>tron</w:t>
            </w:r>
            <w:r w:rsidR="000628A3" w:rsidRPr="00AB1510">
              <w:rPr>
                <w:sz w:val="26"/>
                <w:szCs w:val="26"/>
              </w:rPr>
              <w:t>g)</w:t>
            </w:r>
          </w:p>
        </w:tc>
      </w:tr>
      <w:tr w:rsidR="00117FB9" w:rsidRPr="00AB1510" w14:paraId="55CEEA55" w14:textId="77777777" w:rsidTr="00117FB9">
        <w:tc>
          <w:tcPr>
            <w:tcW w:w="3116" w:type="dxa"/>
          </w:tcPr>
          <w:p w14:paraId="2C3C908D" w14:textId="7E00ADEB" w:rsidR="00117FB9" w:rsidRPr="00AB1510" w:rsidRDefault="00117FB9" w:rsidP="00117FB9">
            <w:pPr>
              <w:rPr>
                <w:sz w:val="26"/>
                <w:szCs w:val="26"/>
              </w:rPr>
            </w:pPr>
            <w:r w:rsidRPr="00AB1510">
              <w:rPr>
                <w:sz w:val="26"/>
                <w:szCs w:val="26"/>
              </w:rPr>
              <w:t>Bar/Restaurant Gross</w:t>
            </w:r>
          </w:p>
        </w:tc>
        <w:tc>
          <w:tcPr>
            <w:tcW w:w="3117" w:type="dxa"/>
          </w:tcPr>
          <w:p w14:paraId="2A8249DE" w14:textId="7B1D17EA" w:rsidR="00117FB9" w:rsidRPr="00AB1510" w:rsidRDefault="00117FB9" w:rsidP="00117FB9">
            <w:pPr>
              <w:rPr>
                <w:sz w:val="26"/>
                <w:szCs w:val="26"/>
              </w:rPr>
            </w:pPr>
            <w:r w:rsidRPr="00AB1510">
              <w:rPr>
                <w:sz w:val="26"/>
                <w:szCs w:val="26"/>
              </w:rPr>
              <w:t>$144,000 ($12,000/mo.)</w:t>
            </w:r>
          </w:p>
        </w:tc>
        <w:tc>
          <w:tcPr>
            <w:tcW w:w="3117" w:type="dxa"/>
          </w:tcPr>
          <w:p w14:paraId="6358840E" w14:textId="262B5C7A" w:rsidR="00117FB9" w:rsidRPr="00AB1510" w:rsidRDefault="00117FB9" w:rsidP="00117FB9">
            <w:pPr>
              <w:rPr>
                <w:sz w:val="26"/>
                <w:szCs w:val="26"/>
              </w:rPr>
            </w:pPr>
            <w:r w:rsidRPr="00AB1510">
              <w:rPr>
                <w:sz w:val="26"/>
                <w:szCs w:val="26"/>
              </w:rPr>
              <w:t>$204,000 ($17,000/mo.)</w:t>
            </w:r>
          </w:p>
        </w:tc>
      </w:tr>
      <w:tr w:rsidR="00117FB9" w:rsidRPr="00AB1510" w14:paraId="4EEB084C" w14:textId="77777777" w:rsidTr="00117FB9">
        <w:trPr>
          <w:cnfStyle w:val="000000100000" w:firstRow="0" w:lastRow="0" w:firstColumn="0" w:lastColumn="0" w:oddVBand="0" w:evenVBand="0" w:oddHBand="1" w:evenHBand="0" w:firstRowFirstColumn="0" w:firstRowLastColumn="0" w:lastRowFirstColumn="0" w:lastRowLastColumn="0"/>
        </w:trPr>
        <w:tc>
          <w:tcPr>
            <w:tcW w:w="3116" w:type="dxa"/>
          </w:tcPr>
          <w:p w14:paraId="4FCD252F" w14:textId="29AA2680" w:rsidR="00117FB9" w:rsidRPr="00AB1510" w:rsidRDefault="00117FB9" w:rsidP="00117FB9">
            <w:pPr>
              <w:rPr>
                <w:sz w:val="26"/>
                <w:szCs w:val="26"/>
              </w:rPr>
            </w:pPr>
            <w:r w:rsidRPr="00AB1510">
              <w:rPr>
                <w:sz w:val="26"/>
                <w:szCs w:val="26"/>
              </w:rPr>
              <w:t>Residential Rental Income</w:t>
            </w:r>
          </w:p>
        </w:tc>
        <w:tc>
          <w:tcPr>
            <w:tcW w:w="3117" w:type="dxa"/>
          </w:tcPr>
          <w:p w14:paraId="0C18491B" w14:textId="7F93BCA3" w:rsidR="00117FB9" w:rsidRPr="00AB1510" w:rsidRDefault="00117FB9" w:rsidP="00117FB9">
            <w:pPr>
              <w:rPr>
                <w:sz w:val="26"/>
                <w:szCs w:val="26"/>
              </w:rPr>
            </w:pPr>
            <w:r w:rsidRPr="00AB1510">
              <w:rPr>
                <w:sz w:val="26"/>
                <w:szCs w:val="26"/>
              </w:rPr>
              <w:t>$14,400</w:t>
            </w:r>
          </w:p>
        </w:tc>
        <w:tc>
          <w:tcPr>
            <w:tcW w:w="3117" w:type="dxa"/>
          </w:tcPr>
          <w:p w14:paraId="1AB939CC" w14:textId="61B8A5A2" w:rsidR="00117FB9" w:rsidRPr="00AB1510" w:rsidRDefault="00117FB9" w:rsidP="00117FB9">
            <w:pPr>
              <w:rPr>
                <w:sz w:val="26"/>
                <w:szCs w:val="26"/>
              </w:rPr>
            </w:pPr>
            <w:r w:rsidRPr="00AB1510">
              <w:rPr>
                <w:sz w:val="26"/>
                <w:szCs w:val="26"/>
              </w:rPr>
              <w:t>$18,000</w:t>
            </w:r>
          </w:p>
        </w:tc>
      </w:tr>
      <w:tr w:rsidR="00117FB9" w:rsidRPr="00AB1510" w14:paraId="6900A975" w14:textId="77777777" w:rsidTr="00117FB9">
        <w:tc>
          <w:tcPr>
            <w:tcW w:w="3116" w:type="dxa"/>
          </w:tcPr>
          <w:p w14:paraId="5AC66ADE" w14:textId="664DD1A8" w:rsidR="00117FB9" w:rsidRPr="00AB1510" w:rsidRDefault="00117FB9" w:rsidP="00117FB9">
            <w:pPr>
              <w:rPr>
                <w:sz w:val="26"/>
                <w:szCs w:val="26"/>
              </w:rPr>
            </w:pPr>
            <w:r w:rsidRPr="00AB1510">
              <w:rPr>
                <w:sz w:val="26"/>
                <w:szCs w:val="26"/>
              </w:rPr>
              <w:t>Total Gross Income</w:t>
            </w:r>
          </w:p>
        </w:tc>
        <w:tc>
          <w:tcPr>
            <w:tcW w:w="3117" w:type="dxa"/>
          </w:tcPr>
          <w:p w14:paraId="08FEA4FD" w14:textId="7E9A19E3" w:rsidR="00117FB9" w:rsidRPr="00AB1510" w:rsidRDefault="00117FB9" w:rsidP="00117FB9">
            <w:pPr>
              <w:rPr>
                <w:sz w:val="26"/>
                <w:szCs w:val="26"/>
              </w:rPr>
            </w:pPr>
            <w:r w:rsidRPr="00AB1510">
              <w:rPr>
                <w:sz w:val="26"/>
                <w:szCs w:val="26"/>
              </w:rPr>
              <w:t>$158,400</w:t>
            </w:r>
          </w:p>
        </w:tc>
        <w:tc>
          <w:tcPr>
            <w:tcW w:w="3117" w:type="dxa"/>
          </w:tcPr>
          <w:p w14:paraId="2C0C2553" w14:textId="78E0031C" w:rsidR="00117FB9" w:rsidRPr="00AB1510" w:rsidRDefault="00117FB9" w:rsidP="00117FB9">
            <w:pPr>
              <w:rPr>
                <w:sz w:val="26"/>
                <w:szCs w:val="26"/>
              </w:rPr>
            </w:pPr>
            <w:r w:rsidRPr="00AB1510">
              <w:rPr>
                <w:sz w:val="26"/>
                <w:szCs w:val="26"/>
              </w:rPr>
              <w:t>$222,000</w:t>
            </w:r>
          </w:p>
        </w:tc>
      </w:tr>
      <w:tr w:rsidR="00117FB9" w:rsidRPr="00AB1510" w14:paraId="1F1432B2" w14:textId="77777777" w:rsidTr="00117FB9">
        <w:trPr>
          <w:cnfStyle w:val="000000100000" w:firstRow="0" w:lastRow="0" w:firstColumn="0" w:lastColumn="0" w:oddVBand="0" w:evenVBand="0" w:oddHBand="1" w:evenHBand="0" w:firstRowFirstColumn="0" w:firstRowLastColumn="0" w:lastRowFirstColumn="0" w:lastRowLastColumn="0"/>
        </w:trPr>
        <w:tc>
          <w:tcPr>
            <w:tcW w:w="3116" w:type="dxa"/>
          </w:tcPr>
          <w:p w14:paraId="03FB69F9" w14:textId="64E9906F" w:rsidR="00117FB9" w:rsidRPr="00AB1510" w:rsidRDefault="00117FB9" w:rsidP="00117FB9">
            <w:pPr>
              <w:rPr>
                <w:sz w:val="26"/>
                <w:szCs w:val="26"/>
              </w:rPr>
            </w:pPr>
            <w:r w:rsidRPr="00AB1510">
              <w:rPr>
                <w:sz w:val="26"/>
                <w:szCs w:val="26"/>
              </w:rPr>
              <w:t>Operating Expenses (35%)</w:t>
            </w:r>
          </w:p>
        </w:tc>
        <w:tc>
          <w:tcPr>
            <w:tcW w:w="3117" w:type="dxa"/>
          </w:tcPr>
          <w:p w14:paraId="5F1D1D2B" w14:textId="6F56CDE2" w:rsidR="00117FB9" w:rsidRPr="00AB1510" w:rsidRDefault="00117FB9" w:rsidP="00117FB9">
            <w:pPr>
              <w:rPr>
                <w:sz w:val="26"/>
                <w:szCs w:val="26"/>
              </w:rPr>
            </w:pPr>
            <w:r w:rsidRPr="00AB1510">
              <w:rPr>
                <w:sz w:val="26"/>
                <w:szCs w:val="26"/>
              </w:rPr>
              <w:t>($55,440)</w:t>
            </w:r>
          </w:p>
        </w:tc>
        <w:tc>
          <w:tcPr>
            <w:tcW w:w="3117" w:type="dxa"/>
          </w:tcPr>
          <w:p w14:paraId="7AF4DECC" w14:textId="702555F4" w:rsidR="00117FB9" w:rsidRPr="00AB1510" w:rsidRDefault="00117FB9" w:rsidP="00117FB9">
            <w:pPr>
              <w:rPr>
                <w:sz w:val="26"/>
                <w:szCs w:val="26"/>
              </w:rPr>
            </w:pPr>
            <w:r w:rsidRPr="00AB1510">
              <w:rPr>
                <w:sz w:val="26"/>
                <w:szCs w:val="26"/>
              </w:rPr>
              <w:t>($77,700)</w:t>
            </w:r>
          </w:p>
        </w:tc>
      </w:tr>
      <w:tr w:rsidR="00117FB9" w:rsidRPr="00AB1510" w14:paraId="4445F99E" w14:textId="77777777" w:rsidTr="00117FB9">
        <w:tc>
          <w:tcPr>
            <w:tcW w:w="3116" w:type="dxa"/>
          </w:tcPr>
          <w:p w14:paraId="39D9E862" w14:textId="4B860AA0" w:rsidR="00117FB9" w:rsidRPr="00AB1510" w:rsidRDefault="00117FB9" w:rsidP="00117FB9">
            <w:pPr>
              <w:rPr>
                <w:sz w:val="26"/>
                <w:szCs w:val="26"/>
              </w:rPr>
            </w:pPr>
            <w:r w:rsidRPr="00AB1510">
              <w:rPr>
                <w:sz w:val="26"/>
                <w:szCs w:val="26"/>
              </w:rPr>
              <w:t>Net Operating Income (NOI)</w:t>
            </w:r>
          </w:p>
        </w:tc>
        <w:tc>
          <w:tcPr>
            <w:tcW w:w="3117" w:type="dxa"/>
          </w:tcPr>
          <w:p w14:paraId="77B4BF9B" w14:textId="70526900" w:rsidR="00117FB9" w:rsidRPr="00AB1510" w:rsidRDefault="00117FB9" w:rsidP="00117FB9">
            <w:pPr>
              <w:rPr>
                <w:sz w:val="26"/>
                <w:szCs w:val="26"/>
              </w:rPr>
            </w:pPr>
            <w:r w:rsidRPr="00AB1510">
              <w:rPr>
                <w:sz w:val="26"/>
                <w:szCs w:val="26"/>
              </w:rPr>
              <w:t>$102,960</w:t>
            </w:r>
          </w:p>
        </w:tc>
        <w:tc>
          <w:tcPr>
            <w:tcW w:w="3117" w:type="dxa"/>
          </w:tcPr>
          <w:p w14:paraId="6C278C80" w14:textId="24930CC7" w:rsidR="00117FB9" w:rsidRPr="00AB1510" w:rsidRDefault="00117FB9" w:rsidP="00117FB9">
            <w:pPr>
              <w:rPr>
                <w:sz w:val="26"/>
                <w:szCs w:val="26"/>
              </w:rPr>
            </w:pPr>
            <w:r w:rsidRPr="00AB1510">
              <w:rPr>
                <w:sz w:val="26"/>
                <w:szCs w:val="26"/>
              </w:rPr>
              <w:t>$144,300</w:t>
            </w:r>
          </w:p>
        </w:tc>
      </w:tr>
      <w:tr w:rsidR="00117FB9" w:rsidRPr="00AB1510" w14:paraId="3DD4D5E9" w14:textId="77777777" w:rsidTr="00117FB9">
        <w:trPr>
          <w:cnfStyle w:val="000000100000" w:firstRow="0" w:lastRow="0" w:firstColumn="0" w:lastColumn="0" w:oddVBand="0" w:evenVBand="0" w:oddHBand="1" w:evenHBand="0" w:firstRowFirstColumn="0" w:firstRowLastColumn="0" w:lastRowFirstColumn="0" w:lastRowLastColumn="0"/>
        </w:trPr>
        <w:tc>
          <w:tcPr>
            <w:tcW w:w="3116" w:type="dxa"/>
          </w:tcPr>
          <w:p w14:paraId="0F2384BF" w14:textId="291F1141" w:rsidR="00117FB9" w:rsidRPr="00AB1510" w:rsidRDefault="00117FB9" w:rsidP="00117FB9">
            <w:pPr>
              <w:rPr>
                <w:sz w:val="26"/>
                <w:szCs w:val="26"/>
              </w:rPr>
            </w:pPr>
            <w:r w:rsidRPr="00AB1510">
              <w:rPr>
                <w:sz w:val="26"/>
                <w:szCs w:val="26"/>
              </w:rPr>
              <w:t>Cap Rate</w:t>
            </w:r>
          </w:p>
        </w:tc>
        <w:tc>
          <w:tcPr>
            <w:tcW w:w="3117" w:type="dxa"/>
          </w:tcPr>
          <w:p w14:paraId="60A84523" w14:textId="27E5BAA3" w:rsidR="00117FB9" w:rsidRPr="00AB1510" w:rsidRDefault="00117FB9" w:rsidP="00117FB9">
            <w:pPr>
              <w:rPr>
                <w:sz w:val="26"/>
                <w:szCs w:val="26"/>
              </w:rPr>
            </w:pPr>
            <w:r w:rsidRPr="00AB1510">
              <w:rPr>
                <w:sz w:val="26"/>
                <w:szCs w:val="26"/>
              </w:rPr>
              <w:t>17.1%</w:t>
            </w:r>
          </w:p>
        </w:tc>
        <w:tc>
          <w:tcPr>
            <w:tcW w:w="3117" w:type="dxa"/>
          </w:tcPr>
          <w:p w14:paraId="327140EF" w14:textId="3335D8C1" w:rsidR="00117FB9" w:rsidRPr="00AB1510" w:rsidRDefault="00117FB9" w:rsidP="00117FB9">
            <w:pPr>
              <w:rPr>
                <w:sz w:val="26"/>
                <w:szCs w:val="26"/>
              </w:rPr>
            </w:pPr>
            <w:r w:rsidRPr="00AB1510">
              <w:rPr>
                <w:sz w:val="26"/>
                <w:szCs w:val="26"/>
              </w:rPr>
              <w:t>24.1%</w:t>
            </w:r>
          </w:p>
        </w:tc>
      </w:tr>
    </w:tbl>
    <w:p w14:paraId="2948703F" w14:textId="77777777" w:rsidR="00117FB9" w:rsidRPr="00843ADA" w:rsidRDefault="00117FB9" w:rsidP="00117FB9">
      <w:pPr>
        <w:pStyle w:val="Heading2"/>
        <w:rPr>
          <w:b/>
          <w:bCs/>
          <w:sz w:val="30"/>
          <w:szCs w:val="30"/>
        </w:rPr>
      </w:pPr>
      <w:r w:rsidRPr="00843ADA">
        <w:rPr>
          <w:b/>
          <w:bCs/>
          <w:sz w:val="30"/>
          <w:szCs w:val="30"/>
        </w:rPr>
        <w:t>Custom Financing Scenario</w:t>
      </w:r>
    </w:p>
    <w:p w14:paraId="1A95D956" w14:textId="77777777" w:rsidR="00A93A58" w:rsidRPr="00AB1510" w:rsidRDefault="00A93A58">
      <w:pPr>
        <w:rPr>
          <w:kern w:val="2"/>
          <w:sz w:val="26"/>
          <w:szCs w:val="26"/>
          <w14:ligatures w14:val="standardContextual"/>
        </w:rPr>
      </w:pPr>
      <w:r w:rsidRPr="00AB1510">
        <w:rPr>
          <w:b/>
          <w:bCs/>
          <w:sz w:val="26"/>
          <w:szCs w:val="26"/>
        </w:rPr>
        <w:t>Seller-Financed Acquisition Structure</w:t>
      </w:r>
    </w:p>
    <w:p w14:paraId="103E7A7A" w14:textId="77777777" w:rsidR="005454BB" w:rsidRPr="00AB1510" w:rsidRDefault="005454BB">
      <w:pPr>
        <w:rPr>
          <w:kern w:val="2"/>
          <w:sz w:val="26"/>
          <w:szCs w:val="26"/>
          <w14:ligatures w14:val="standardContextual"/>
        </w:rPr>
      </w:pPr>
      <w:r w:rsidRPr="00AB1510">
        <w:rPr>
          <w:sz w:val="26"/>
          <w:szCs w:val="26"/>
        </w:rPr>
        <w:lastRenderedPageBreak/>
        <w:t>Acquire 616 Taproom with enhanced flexibility: the asking price has been reduced to $499,999, and the seller is offering seller financing for qualified buyers. This structure can simplify the acquisition process, improve near-term cash flow, and create a more attractive path to ownership for investors and owner-operators alike.</w:t>
      </w:r>
    </w:p>
    <w:tbl>
      <w:tblPr>
        <w:tblStyle w:val="PlainTable1"/>
        <w:tblW w:w="0" w:type="auto"/>
        <w:tblLook w:val="0420" w:firstRow="1" w:lastRow="0" w:firstColumn="0" w:lastColumn="0" w:noHBand="0" w:noVBand="1"/>
      </w:tblPr>
      <w:tblGrid>
        <w:gridCol w:w="3116"/>
        <w:gridCol w:w="3117"/>
        <w:gridCol w:w="3117"/>
      </w:tblGrid>
      <w:tr w:rsidR="000628A3" w:rsidRPr="00AB1510" w14:paraId="0EFB5CF1" w14:textId="77777777" w:rsidTr="000628A3">
        <w:trPr>
          <w:cnfStyle w:val="100000000000" w:firstRow="1" w:lastRow="0" w:firstColumn="0" w:lastColumn="0" w:oddVBand="0" w:evenVBand="0" w:oddHBand="0" w:evenHBand="0" w:firstRowFirstColumn="0" w:firstRowLastColumn="0" w:lastRowFirstColumn="0" w:lastRowLastColumn="0"/>
        </w:trPr>
        <w:tc>
          <w:tcPr>
            <w:tcW w:w="3116" w:type="dxa"/>
          </w:tcPr>
          <w:p w14:paraId="7EF301E1" w14:textId="5C293BFA" w:rsidR="000628A3" w:rsidRPr="00AB1510" w:rsidRDefault="000628A3" w:rsidP="000628A3">
            <w:pPr>
              <w:rPr>
                <w:sz w:val="26"/>
                <w:szCs w:val="26"/>
              </w:rPr>
            </w:pPr>
            <w:r w:rsidRPr="00AB1510">
              <w:rPr>
                <w:sz w:val="26"/>
                <w:szCs w:val="26"/>
              </w:rPr>
              <w:t xml:space="preserve"> </w:t>
            </w:r>
          </w:p>
        </w:tc>
        <w:tc>
          <w:tcPr>
            <w:tcW w:w="3117" w:type="dxa"/>
          </w:tcPr>
          <w:p w14:paraId="4B9C01AF" w14:textId="34EEC907" w:rsidR="000628A3" w:rsidRPr="00AB1510" w:rsidRDefault="000628A3" w:rsidP="000628A3">
            <w:pPr>
              <w:rPr>
                <w:sz w:val="26"/>
                <w:szCs w:val="26"/>
              </w:rPr>
            </w:pPr>
            <w:r w:rsidRPr="00AB1510">
              <w:rPr>
                <w:sz w:val="26"/>
                <w:szCs w:val="26"/>
              </w:rPr>
              <w:t>Year 1 Estimates</w:t>
            </w:r>
          </w:p>
        </w:tc>
        <w:tc>
          <w:tcPr>
            <w:tcW w:w="3117" w:type="dxa"/>
          </w:tcPr>
          <w:p w14:paraId="3AF9749C" w14:textId="47A2D7E7" w:rsidR="000628A3" w:rsidRPr="00AB1510" w:rsidRDefault="000628A3" w:rsidP="000628A3">
            <w:pPr>
              <w:rPr>
                <w:sz w:val="26"/>
                <w:szCs w:val="26"/>
              </w:rPr>
            </w:pPr>
            <w:r w:rsidRPr="00AB1510">
              <w:rPr>
                <w:sz w:val="26"/>
                <w:szCs w:val="26"/>
              </w:rPr>
              <w:t>Year 2 Estimates</w:t>
            </w:r>
          </w:p>
        </w:tc>
      </w:tr>
      <w:tr w:rsidR="000628A3" w:rsidRPr="00AB1510" w14:paraId="608496E7" w14:textId="77777777" w:rsidTr="000628A3">
        <w:trPr>
          <w:cnfStyle w:val="000000100000" w:firstRow="0" w:lastRow="0" w:firstColumn="0" w:lastColumn="0" w:oddVBand="0" w:evenVBand="0" w:oddHBand="1" w:evenHBand="0" w:firstRowFirstColumn="0" w:firstRowLastColumn="0" w:lastRowFirstColumn="0" w:lastRowLastColumn="0"/>
        </w:trPr>
        <w:tc>
          <w:tcPr>
            <w:tcW w:w="3116" w:type="dxa"/>
          </w:tcPr>
          <w:p w14:paraId="32B2F7A5" w14:textId="599DF887" w:rsidR="000628A3" w:rsidRPr="00AB1510" w:rsidRDefault="000628A3" w:rsidP="000628A3">
            <w:pPr>
              <w:rPr>
                <w:sz w:val="26"/>
                <w:szCs w:val="26"/>
              </w:rPr>
            </w:pPr>
            <w:r w:rsidRPr="00AB1510">
              <w:rPr>
                <w:sz w:val="26"/>
                <w:szCs w:val="26"/>
              </w:rPr>
              <w:t>Total Monthly Gross</w:t>
            </w:r>
          </w:p>
        </w:tc>
        <w:tc>
          <w:tcPr>
            <w:tcW w:w="3117" w:type="dxa"/>
          </w:tcPr>
          <w:p w14:paraId="16D349FD" w14:textId="1C54405E" w:rsidR="000628A3" w:rsidRPr="00AB1510" w:rsidRDefault="000628A3" w:rsidP="000628A3">
            <w:pPr>
              <w:rPr>
                <w:sz w:val="26"/>
                <w:szCs w:val="26"/>
              </w:rPr>
            </w:pPr>
            <w:r w:rsidRPr="00AB1510">
              <w:rPr>
                <w:sz w:val="26"/>
                <w:szCs w:val="26"/>
              </w:rPr>
              <w:t>$13,200</w:t>
            </w:r>
          </w:p>
        </w:tc>
        <w:tc>
          <w:tcPr>
            <w:tcW w:w="3117" w:type="dxa"/>
          </w:tcPr>
          <w:p w14:paraId="42CA289B" w14:textId="67360A26" w:rsidR="000628A3" w:rsidRPr="00AB1510" w:rsidRDefault="000628A3" w:rsidP="000628A3">
            <w:pPr>
              <w:rPr>
                <w:sz w:val="26"/>
                <w:szCs w:val="26"/>
              </w:rPr>
            </w:pPr>
            <w:r w:rsidRPr="00AB1510">
              <w:rPr>
                <w:sz w:val="26"/>
                <w:szCs w:val="26"/>
              </w:rPr>
              <w:t>$18,500</w:t>
            </w:r>
          </w:p>
        </w:tc>
      </w:tr>
      <w:tr w:rsidR="000628A3" w:rsidRPr="00AB1510" w14:paraId="6022DD38" w14:textId="77777777" w:rsidTr="000628A3">
        <w:tc>
          <w:tcPr>
            <w:tcW w:w="3116" w:type="dxa"/>
          </w:tcPr>
          <w:p w14:paraId="4D3FB56D" w14:textId="348DA348" w:rsidR="000628A3" w:rsidRPr="00AB1510" w:rsidRDefault="000628A3" w:rsidP="000628A3">
            <w:pPr>
              <w:rPr>
                <w:sz w:val="26"/>
                <w:szCs w:val="26"/>
              </w:rPr>
            </w:pPr>
            <w:r w:rsidRPr="00AB1510">
              <w:rPr>
                <w:sz w:val="26"/>
                <w:szCs w:val="26"/>
              </w:rPr>
              <w:t>Total Monthly Expenses</w:t>
            </w:r>
          </w:p>
        </w:tc>
        <w:tc>
          <w:tcPr>
            <w:tcW w:w="3117" w:type="dxa"/>
          </w:tcPr>
          <w:p w14:paraId="201FF862" w14:textId="38BDD740" w:rsidR="000628A3" w:rsidRPr="00AB1510" w:rsidRDefault="000628A3" w:rsidP="000628A3">
            <w:pPr>
              <w:rPr>
                <w:sz w:val="26"/>
                <w:szCs w:val="26"/>
              </w:rPr>
            </w:pPr>
            <w:r w:rsidRPr="00AB1510">
              <w:rPr>
                <w:sz w:val="26"/>
                <w:szCs w:val="26"/>
              </w:rPr>
              <w:t>($4,620)</w:t>
            </w:r>
          </w:p>
        </w:tc>
        <w:tc>
          <w:tcPr>
            <w:tcW w:w="3117" w:type="dxa"/>
          </w:tcPr>
          <w:p w14:paraId="05887CA8" w14:textId="65F780C6" w:rsidR="000628A3" w:rsidRPr="00AB1510" w:rsidRDefault="000628A3" w:rsidP="000628A3">
            <w:pPr>
              <w:rPr>
                <w:sz w:val="26"/>
                <w:szCs w:val="26"/>
              </w:rPr>
            </w:pPr>
            <w:r w:rsidRPr="00AB1510">
              <w:rPr>
                <w:sz w:val="26"/>
                <w:szCs w:val="26"/>
              </w:rPr>
              <w:t>($6,475)</w:t>
            </w:r>
          </w:p>
        </w:tc>
      </w:tr>
      <w:tr w:rsidR="000628A3" w:rsidRPr="00AB1510" w14:paraId="53517E1B" w14:textId="77777777" w:rsidTr="000628A3">
        <w:trPr>
          <w:cnfStyle w:val="000000100000" w:firstRow="0" w:lastRow="0" w:firstColumn="0" w:lastColumn="0" w:oddVBand="0" w:evenVBand="0" w:oddHBand="1" w:evenHBand="0" w:firstRowFirstColumn="0" w:firstRowLastColumn="0" w:lastRowFirstColumn="0" w:lastRowLastColumn="0"/>
        </w:trPr>
        <w:tc>
          <w:tcPr>
            <w:tcW w:w="3116" w:type="dxa"/>
          </w:tcPr>
          <w:p w14:paraId="670D71CB" w14:textId="77777777" w:rsidR="005454BB" w:rsidRPr="00AB1510" w:rsidRDefault="005454BB">
            <w:pPr>
              <w:rPr>
                <w:kern w:val="2"/>
                <w:sz w:val="26"/>
                <w:szCs w:val="26"/>
                <w14:ligatures w14:val="standardContextual"/>
              </w:rPr>
            </w:pPr>
            <w:r w:rsidRPr="00AB1510">
              <w:rPr>
                <w:color w:val="000000"/>
                <w:sz w:val="26"/>
                <w:szCs w:val="26"/>
              </w:rPr>
              <w:t>Seller-Financed Payment (Approx. $1,686/mo. P&amp;I, 15-yr amortization at 6% on $199,999 financed)</w:t>
            </w:r>
          </w:p>
          <w:p w14:paraId="54072695" w14:textId="56932C0A" w:rsidR="000628A3" w:rsidRPr="00AB1510" w:rsidRDefault="000628A3" w:rsidP="000628A3">
            <w:pPr>
              <w:rPr>
                <w:sz w:val="26"/>
                <w:szCs w:val="26"/>
              </w:rPr>
            </w:pPr>
          </w:p>
        </w:tc>
        <w:tc>
          <w:tcPr>
            <w:tcW w:w="3117" w:type="dxa"/>
          </w:tcPr>
          <w:p w14:paraId="50C5B988" w14:textId="77777777" w:rsidR="005454BB" w:rsidRPr="00AB1510" w:rsidRDefault="005454BB">
            <w:pPr>
              <w:rPr>
                <w:kern w:val="2"/>
                <w:sz w:val="26"/>
                <w:szCs w:val="26"/>
                <w14:ligatures w14:val="standardContextual"/>
              </w:rPr>
            </w:pPr>
            <w:r w:rsidRPr="00AB1510">
              <w:rPr>
                <w:color w:val="000000"/>
                <w:sz w:val="26"/>
                <w:szCs w:val="26"/>
              </w:rPr>
              <w:t>($1,686)</w:t>
            </w:r>
          </w:p>
          <w:p w14:paraId="315FF573" w14:textId="4691570F" w:rsidR="000628A3" w:rsidRPr="00AB1510" w:rsidRDefault="000628A3" w:rsidP="000628A3">
            <w:pPr>
              <w:rPr>
                <w:sz w:val="26"/>
                <w:szCs w:val="26"/>
              </w:rPr>
            </w:pPr>
          </w:p>
        </w:tc>
        <w:tc>
          <w:tcPr>
            <w:tcW w:w="3117" w:type="dxa"/>
          </w:tcPr>
          <w:p w14:paraId="415185F9" w14:textId="77777777" w:rsidR="005454BB" w:rsidRPr="00AB1510" w:rsidRDefault="005454BB">
            <w:pPr>
              <w:rPr>
                <w:kern w:val="2"/>
                <w:sz w:val="26"/>
                <w:szCs w:val="26"/>
                <w14:ligatures w14:val="standardContextual"/>
              </w:rPr>
            </w:pPr>
            <w:r w:rsidRPr="00AB1510">
              <w:rPr>
                <w:color w:val="000000"/>
                <w:sz w:val="26"/>
                <w:szCs w:val="26"/>
              </w:rPr>
              <w:t>($1,686)</w:t>
            </w:r>
          </w:p>
          <w:p w14:paraId="49581604" w14:textId="03F3F6D9" w:rsidR="000628A3" w:rsidRPr="00AB1510" w:rsidRDefault="000628A3" w:rsidP="000628A3">
            <w:pPr>
              <w:rPr>
                <w:sz w:val="26"/>
                <w:szCs w:val="26"/>
              </w:rPr>
            </w:pPr>
          </w:p>
        </w:tc>
      </w:tr>
      <w:tr w:rsidR="000628A3" w:rsidRPr="00AB1510" w14:paraId="00B3F5ED" w14:textId="77777777" w:rsidTr="000628A3">
        <w:tc>
          <w:tcPr>
            <w:tcW w:w="3116" w:type="dxa"/>
          </w:tcPr>
          <w:p w14:paraId="252F1B40" w14:textId="12EE4025" w:rsidR="000628A3" w:rsidRPr="00AB1510" w:rsidRDefault="000628A3" w:rsidP="000628A3">
            <w:pPr>
              <w:rPr>
                <w:sz w:val="26"/>
                <w:szCs w:val="26"/>
              </w:rPr>
            </w:pPr>
            <w:r w:rsidRPr="00AB1510">
              <w:rPr>
                <w:sz w:val="26"/>
                <w:szCs w:val="26"/>
              </w:rPr>
              <w:t>Net Monthly Take-Home</w:t>
            </w:r>
          </w:p>
        </w:tc>
        <w:tc>
          <w:tcPr>
            <w:tcW w:w="3117" w:type="dxa"/>
          </w:tcPr>
          <w:p w14:paraId="082AB3D2" w14:textId="77777777" w:rsidR="005454BB" w:rsidRPr="00AB1510" w:rsidRDefault="005454BB">
            <w:pPr>
              <w:rPr>
                <w:kern w:val="2"/>
                <w:sz w:val="26"/>
                <w:szCs w:val="26"/>
                <w14:ligatures w14:val="standardContextual"/>
              </w:rPr>
            </w:pPr>
            <w:r w:rsidRPr="00AB1510">
              <w:rPr>
                <w:sz w:val="26"/>
                <w:szCs w:val="26"/>
              </w:rPr>
              <w:t>$6,894</w:t>
            </w:r>
          </w:p>
          <w:p w14:paraId="1B352CE9" w14:textId="0A1FFC9C" w:rsidR="000628A3" w:rsidRPr="00AB1510" w:rsidRDefault="000628A3" w:rsidP="000628A3">
            <w:pPr>
              <w:rPr>
                <w:sz w:val="26"/>
                <w:szCs w:val="26"/>
              </w:rPr>
            </w:pPr>
          </w:p>
        </w:tc>
        <w:tc>
          <w:tcPr>
            <w:tcW w:w="3117" w:type="dxa"/>
          </w:tcPr>
          <w:p w14:paraId="3A19AD0F" w14:textId="77777777" w:rsidR="005454BB" w:rsidRPr="00AB1510" w:rsidRDefault="005454BB">
            <w:pPr>
              <w:rPr>
                <w:kern w:val="2"/>
                <w:sz w:val="26"/>
                <w:szCs w:val="26"/>
                <w14:ligatures w14:val="standardContextual"/>
              </w:rPr>
            </w:pPr>
            <w:r w:rsidRPr="00AB1510">
              <w:rPr>
                <w:sz w:val="26"/>
                <w:szCs w:val="26"/>
              </w:rPr>
              <w:t>$10,339</w:t>
            </w:r>
          </w:p>
          <w:p w14:paraId="6208A522" w14:textId="6CCAC5F8" w:rsidR="000628A3" w:rsidRPr="00AB1510" w:rsidRDefault="000628A3" w:rsidP="000628A3">
            <w:pPr>
              <w:rPr>
                <w:sz w:val="26"/>
                <w:szCs w:val="26"/>
              </w:rPr>
            </w:pPr>
          </w:p>
        </w:tc>
      </w:tr>
    </w:tbl>
    <w:p w14:paraId="67D109F1" w14:textId="77777777" w:rsidR="000628A3" w:rsidRPr="00AB1510" w:rsidRDefault="000628A3" w:rsidP="000628A3">
      <w:pPr>
        <w:rPr>
          <w:sz w:val="26"/>
          <w:szCs w:val="26"/>
        </w:rPr>
      </w:pPr>
    </w:p>
    <w:p w14:paraId="2EBB707A" w14:textId="666A00DF" w:rsidR="005454BB" w:rsidRPr="00AB1510" w:rsidRDefault="005454BB">
      <w:pPr>
        <w:rPr>
          <w:kern w:val="2"/>
          <w:sz w:val="26"/>
          <w:szCs w:val="26"/>
          <w14:ligatures w14:val="standardContextual"/>
        </w:rPr>
      </w:pPr>
      <w:r w:rsidRPr="00AB1510">
        <w:rPr>
          <w:sz w:val="26"/>
          <w:szCs w:val="26"/>
        </w:rPr>
        <w:t xml:space="preserve">With the reduced purchase price and seller-financing structure, projected net monthly take-home </w:t>
      </w:r>
      <w:r w:rsidR="00A81059" w:rsidRPr="00AB1510">
        <w:rPr>
          <w:sz w:val="26"/>
          <w:szCs w:val="26"/>
        </w:rPr>
        <w:t>increases</w:t>
      </w:r>
      <w:r w:rsidRPr="00AB1510">
        <w:rPr>
          <w:sz w:val="26"/>
          <w:szCs w:val="26"/>
        </w:rPr>
        <w:t xml:space="preserve"> to approximately $6,894 in Year 1 and $10,339 in Year 2, based on conservative and stabilized income assumptions. These revised terms strengthen cash-on-cash returns, lower the upfront barrier to entry for qualified buyers, and enhance the overall attractiveness of the opportunity.</w:t>
      </w:r>
    </w:p>
    <w:p w14:paraId="531EF9F1" w14:textId="77777777" w:rsidR="00117FB9" w:rsidRPr="004C2447" w:rsidRDefault="00117FB9" w:rsidP="00117FB9">
      <w:pPr>
        <w:pStyle w:val="Heading2"/>
        <w:rPr>
          <w:b/>
          <w:bCs/>
          <w:sz w:val="28"/>
          <w:szCs w:val="28"/>
        </w:rPr>
      </w:pPr>
      <w:r w:rsidRPr="004C2447">
        <w:rPr>
          <w:b/>
          <w:bCs/>
          <w:sz w:val="28"/>
          <w:szCs w:val="28"/>
        </w:rPr>
        <w:t>Strategic Investment Highlights</w:t>
      </w:r>
    </w:p>
    <w:p w14:paraId="7A9D172A" w14:textId="77777777" w:rsidR="00117FB9" w:rsidRPr="00AB1510" w:rsidRDefault="00117FB9" w:rsidP="00117FB9">
      <w:pPr>
        <w:pStyle w:val="ListParagraph"/>
        <w:numPr>
          <w:ilvl w:val="0"/>
          <w:numId w:val="5"/>
        </w:numPr>
        <w:rPr>
          <w:sz w:val="26"/>
          <w:szCs w:val="26"/>
        </w:rPr>
      </w:pPr>
      <w:r w:rsidRPr="00AB1510">
        <w:rPr>
          <w:sz w:val="26"/>
          <w:szCs w:val="26"/>
        </w:rPr>
        <w:t>Outstanding Cash-on-Cash Return: The combination of strong operating income and efficient financing enables you to recoup your investment rapidly, with Year 1 cash-on-cash returns exceeding 27% and even higher returns as revenue stabilizes and grows.</w:t>
      </w:r>
    </w:p>
    <w:p w14:paraId="4E6A1982" w14:textId="77777777" w:rsidR="00117FB9" w:rsidRPr="00AB1510" w:rsidRDefault="00117FB9" w:rsidP="00117FB9">
      <w:pPr>
        <w:pStyle w:val="ListParagraph"/>
        <w:numPr>
          <w:ilvl w:val="0"/>
          <w:numId w:val="5"/>
        </w:numPr>
        <w:rPr>
          <w:sz w:val="26"/>
          <w:szCs w:val="26"/>
        </w:rPr>
      </w:pPr>
      <w:r w:rsidRPr="00AB1510">
        <w:rPr>
          <w:sz w:val="26"/>
          <w:szCs w:val="26"/>
        </w:rPr>
        <w:t>Built-In Safety Net: The duplex’s residential income covers a substantial portion of debt service, reducing your risk profile and lowering the taproom’s break-even point.</w:t>
      </w:r>
    </w:p>
    <w:p w14:paraId="5AAB6965" w14:textId="6CE0BACA" w:rsidR="00117FB9" w:rsidRPr="00AB1510" w:rsidRDefault="00117FB9" w:rsidP="00117FB9">
      <w:pPr>
        <w:pStyle w:val="ListParagraph"/>
        <w:numPr>
          <w:ilvl w:val="0"/>
          <w:numId w:val="5"/>
        </w:numPr>
        <w:rPr>
          <w:sz w:val="26"/>
          <w:szCs w:val="26"/>
        </w:rPr>
      </w:pPr>
      <w:r w:rsidRPr="00AB1510">
        <w:rPr>
          <w:sz w:val="26"/>
          <w:szCs w:val="26"/>
        </w:rPr>
        <w:t xml:space="preserve">Turnkey &amp; Ready: The sale includes </w:t>
      </w:r>
      <w:r w:rsidR="00AB1510" w:rsidRPr="00AB1510">
        <w:rPr>
          <w:sz w:val="26"/>
          <w:szCs w:val="26"/>
        </w:rPr>
        <w:t>business</w:t>
      </w:r>
      <w:r w:rsidRPr="00AB1510">
        <w:rPr>
          <w:sz w:val="26"/>
          <w:szCs w:val="26"/>
        </w:rPr>
        <w:t>, all essential kitchen equipment, and valuable liquor and entertainment licenses. The kitchen is fully updated, and the duplex offers long-term tenants with a clear path to market-rate rents ($18,000/year).</w:t>
      </w:r>
    </w:p>
    <w:p w14:paraId="3CA43F67" w14:textId="77777777" w:rsidR="005454BB" w:rsidRPr="00AB1510" w:rsidRDefault="005454BB" w:rsidP="005454BB">
      <w:pPr>
        <w:pStyle w:val="ListParagraph"/>
        <w:numPr>
          <w:ilvl w:val="0"/>
          <w:numId w:val="5"/>
        </w:numPr>
        <w:rPr>
          <w:sz w:val="26"/>
          <w:szCs w:val="26"/>
        </w:rPr>
      </w:pPr>
      <w:r w:rsidRPr="00AB1510">
        <w:rPr>
          <w:sz w:val="26"/>
          <w:szCs w:val="26"/>
        </w:rPr>
        <w:t>Proven Transition Support: A well-known chef associated with the operation is willing to remain for up to six months after closing to help train the new owner, support operational continuity, and ensure a smooth handoff.</w:t>
      </w:r>
    </w:p>
    <w:p w14:paraId="2237572D" w14:textId="77777777" w:rsidR="00117FB9" w:rsidRPr="00AB1510" w:rsidRDefault="00117FB9" w:rsidP="00117FB9">
      <w:pPr>
        <w:pStyle w:val="ListParagraph"/>
        <w:numPr>
          <w:ilvl w:val="0"/>
          <w:numId w:val="5"/>
        </w:numPr>
        <w:rPr>
          <w:sz w:val="26"/>
          <w:szCs w:val="26"/>
        </w:rPr>
      </w:pPr>
      <w:r w:rsidRPr="00AB1510">
        <w:rPr>
          <w:sz w:val="26"/>
          <w:szCs w:val="26"/>
        </w:rPr>
        <w:lastRenderedPageBreak/>
        <w:t>Prime Market Position: Millvale continues to outperform as a high-growth market with strong demand for walkable, local dining and social venues, in contrast to more saturated neighboring areas.</w:t>
      </w:r>
    </w:p>
    <w:p w14:paraId="0AF37DAC" w14:textId="77777777" w:rsidR="00117FB9" w:rsidRPr="005D6632" w:rsidRDefault="00117FB9" w:rsidP="00117FB9">
      <w:pPr>
        <w:pStyle w:val="Heading2"/>
        <w:rPr>
          <w:b/>
          <w:bCs/>
          <w:sz w:val="28"/>
          <w:szCs w:val="28"/>
        </w:rPr>
      </w:pPr>
      <w:r w:rsidRPr="005D6632">
        <w:rPr>
          <w:b/>
          <w:bCs/>
          <w:sz w:val="28"/>
          <w:szCs w:val="28"/>
        </w:rPr>
        <w:t>Investment Verdict</w:t>
      </w:r>
    </w:p>
    <w:p w14:paraId="325820A1" w14:textId="77777777" w:rsidR="00A93A58" w:rsidRPr="005D6632" w:rsidRDefault="00A93A58">
      <w:pPr>
        <w:rPr>
          <w:kern w:val="2"/>
          <w:sz w:val="28"/>
          <w:szCs w:val="28"/>
          <w14:ligatures w14:val="standardContextual"/>
        </w:rPr>
      </w:pPr>
      <w:r w:rsidRPr="005D6632">
        <w:rPr>
          <w:sz w:val="28"/>
          <w:szCs w:val="28"/>
        </w:rPr>
        <w:t>With its reduced asking price, flexible seller-financing option, and built-in transition support, 616 Taproom represents a differentiated acquisition opportunity within the Pittsburgh hospitality market. The combination of a going-concern food and beverage operation, residential income, and a clear path to operational growth positions this asset as an attractive memorandum-quality offering for buyers seeking immediate cash flow, downside protection, and long-term upside.</w:t>
      </w:r>
    </w:p>
    <w:p w14:paraId="0AED6813" w14:textId="41E028CE" w:rsidR="00117FB9" w:rsidRDefault="00117FB9" w:rsidP="00117FB9">
      <w:pPr>
        <w:spacing w:after="100" w:afterAutospacing="1" w:line="240" w:lineRule="auto"/>
        <w:ind w:left="720"/>
      </w:pPr>
    </w:p>
    <w:p w14:paraId="294E51B7" w14:textId="77777777" w:rsidR="005D6632" w:rsidRDefault="005D6632" w:rsidP="005D6632">
      <w:pPr>
        <w:rPr>
          <w:rFonts w:ascii="Aptos" w:eastAsia="Times New Roman" w:hAnsi="Aptos" w:cs="Times New Roman"/>
          <w:color w:val="666666"/>
          <w:sz w:val="20"/>
          <w:szCs w:val="20"/>
        </w:rPr>
      </w:pPr>
    </w:p>
    <w:p w14:paraId="21F90782" w14:textId="77777777" w:rsidR="005D6632" w:rsidRDefault="005D6632" w:rsidP="005D6632">
      <w:pPr>
        <w:rPr>
          <w:rFonts w:ascii="Aptos" w:eastAsia="Times New Roman" w:hAnsi="Aptos" w:cs="Times New Roman"/>
          <w:color w:val="666666"/>
          <w:sz w:val="20"/>
          <w:szCs w:val="20"/>
        </w:rPr>
      </w:pPr>
    </w:p>
    <w:p w14:paraId="7D63944A" w14:textId="77777777" w:rsidR="005D6632" w:rsidRDefault="005D6632" w:rsidP="005D6632">
      <w:pPr>
        <w:rPr>
          <w:rFonts w:ascii="Aptos" w:eastAsia="Times New Roman" w:hAnsi="Aptos" w:cs="Times New Roman"/>
          <w:color w:val="666666"/>
          <w:sz w:val="20"/>
          <w:szCs w:val="20"/>
        </w:rPr>
      </w:pPr>
    </w:p>
    <w:p w14:paraId="6AE6FE91" w14:textId="77777777" w:rsidR="005D6632" w:rsidRDefault="005D6632" w:rsidP="005D6632">
      <w:pPr>
        <w:rPr>
          <w:rFonts w:ascii="Aptos" w:eastAsia="Times New Roman" w:hAnsi="Aptos" w:cs="Times New Roman"/>
          <w:color w:val="666666"/>
          <w:sz w:val="20"/>
          <w:szCs w:val="20"/>
        </w:rPr>
      </w:pPr>
    </w:p>
    <w:p w14:paraId="1529B914" w14:textId="77777777" w:rsidR="005D6632" w:rsidRDefault="005D6632" w:rsidP="005D6632">
      <w:pPr>
        <w:rPr>
          <w:rFonts w:ascii="Aptos" w:eastAsia="Times New Roman" w:hAnsi="Aptos" w:cs="Times New Roman"/>
          <w:color w:val="666666"/>
          <w:sz w:val="20"/>
          <w:szCs w:val="20"/>
        </w:rPr>
      </w:pPr>
    </w:p>
    <w:p w14:paraId="3AA82745" w14:textId="77777777" w:rsidR="005D6632" w:rsidRDefault="005D6632" w:rsidP="005D6632">
      <w:pPr>
        <w:rPr>
          <w:rFonts w:ascii="Aptos" w:eastAsia="Times New Roman" w:hAnsi="Aptos" w:cs="Times New Roman"/>
          <w:color w:val="666666"/>
          <w:sz w:val="20"/>
          <w:szCs w:val="20"/>
        </w:rPr>
      </w:pPr>
    </w:p>
    <w:p w14:paraId="2C408AFA" w14:textId="77777777" w:rsidR="005D6632" w:rsidRDefault="005D6632" w:rsidP="005D6632">
      <w:pPr>
        <w:rPr>
          <w:rFonts w:ascii="Aptos" w:eastAsia="Times New Roman" w:hAnsi="Aptos" w:cs="Times New Roman"/>
          <w:color w:val="666666"/>
          <w:sz w:val="20"/>
          <w:szCs w:val="20"/>
        </w:rPr>
      </w:pPr>
    </w:p>
    <w:p w14:paraId="4C632B85" w14:textId="77777777" w:rsidR="005D6632" w:rsidRDefault="005D6632" w:rsidP="005D6632">
      <w:pPr>
        <w:rPr>
          <w:rFonts w:ascii="Aptos" w:eastAsia="Times New Roman" w:hAnsi="Aptos" w:cs="Times New Roman"/>
          <w:color w:val="666666"/>
          <w:sz w:val="20"/>
          <w:szCs w:val="20"/>
        </w:rPr>
      </w:pPr>
    </w:p>
    <w:p w14:paraId="1AF6366A" w14:textId="09FAFB19" w:rsidR="00E2212A" w:rsidRPr="00E2212A" w:rsidRDefault="00E2212A" w:rsidP="00E2212A">
      <w:pPr>
        <w:keepNext/>
        <w:keepLines/>
        <w:pBdr>
          <w:bottom w:val="single" w:sz="4" w:space="2" w:color="ED7D31"/>
        </w:pBdr>
        <w:spacing w:before="360" w:after="120" w:line="240" w:lineRule="auto"/>
        <w:outlineLvl w:val="0"/>
        <w:rPr>
          <w:rFonts w:ascii="Aptos Display" w:eastAsia="Times New Roman" w:hAnsi="Aptos Display" w:cs="Times New Roman"/>
          <w:color w:val="262626"/>
          <w:sz w:val="40"/>
          <w:szCs w:val="40"/>
        </w:rPr>
      </w:pPr>
      <w:r w:rsidRPr="00E2212A">
        <w:rPr>
          <w:rFonts w:ascii="Aptos Display" w:eastAsia="Times New Roman" w:hAnsi="Aptos Display" w:cs="Times New Roman"/>
          <w:color w:val="262626"/>
          <w:sz w:val="40"/>
          <w:szCs w:val="40"/>
        </w:rPr>
        <w:t>Buyer Requirements &amp; Dis</w:t>
      </w:r>
      <w:r w:rsidR="00590E93">
        <w:rPr>
          <w:rFonts w:ascii="Aptos Display" w:eastAsia="Times New Roman" w:hAnsi="Aptos Display" w:cs="Times New Roman"/>
          <w:color w:val="262626"/>
          <w:sz w:val="40"/>
          <w:szCs w:val="40"/>
        </w:rPr>
        <w:t>claimer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E2212A" w:rsidRPr="00E2212A" w14:paraId="7236AA4C" w14:textId="77777777" w:rsidTr="00223385">
        <w:trPr>
          <w:trHeight w:val="80"/>
          <w:tblCellSpacing w:w="15" w:type="dxa"/>
        </w:trPr>
        <w:tc>
          <w:tcPr>
            <w:tcW w:w="0" w:type="auto"/>
            <w:vAlign w:val="center"/>
            <w:hideMark/>
          </w:tcPr>
          <w:p w14:paraId="729250E7" w14:textId="77777777" w:rsidR="00E2212A" w:rsidRPr="00E2212A" w:rsidRDefault="00E2212A" w:rsidP="00E2212A">
            <w:pPr>
              <w:rPr>
                <w:rFonts w:ascii="Aptos" w:eastAsia="Times New Roman" w:hAnsi="Aptos" w:cs="Times New Roman"/>
              </w:rPr>
            </w:pPr>
          </w:p>
        </w:tc>
      </w:tr>
    </w:tbl>
    <w:p w14:paraId="66E1E6FE" w14:textId="77777777" w:rsidR="00266044" w:rsidRDefault="00266044">
      <w:pPr>
        <w:spacing w:after="0"/>
        <w:rPr>
          <w:kern w:val="2"/>
          <w14:ligatures w14:val="standardContextual"/>
        </w:rPr>
      </w:pPr>
      <w:r>
        <w:rPr>
          <w:rFonts w:ascii="Times New Roman" w:hAnsi="Times New Roman"/>
          <w:sz w:val="26"/>
          <w:szCs w:val="26"/>
        </w:rPr>
        <w:t>Buyer is responsible for the Borough of Millvale Occupancy Inspection and all municipal compliance. Proof of Funds, an existing lender relationship letter, or a commercial profile is required prior to scheduling property tours. Taxes and square footage are deemed reliable but not guaranteed. Buyers are exclusively responsible for verifying all information and conducting their own due diligence.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E2212A" w:rsidRPr="00E2212A" w14:paraId="18A2BFBD" w14:textId="77777777" w:rsidTr="00223385">
        <w:trPr>
          <w:trHeight w:val="80"/>
          <w:tblCellSpacing w:w="15" w:type="dxa"/>
        </w:trPr>
        <w:tc>
          <w:tcPr>
            <w:tcW w:w="0" w:type="auto"/>
            <w:vAlign w:val="center"/>
            <w:hideMark/>
          </w:tcPr>
          <w:p w14:paraId="6D6A0DDD" w14:textId="77777777" w:rsidR="00E2212A" w:rsidRPr="00E2212A" w:rsidRDefault="00E2212A" w:rsidP="00E2212A">
            <w:pPr>
              <w:rPr>
                <w:rFonts w:ascii="Aptos" w:eastAsia="Times New Roman" w:hAnsi="Aptos" w:cs="Times New Roman"/>
              </w:rPr>
            </w:pPr>
          </w:p>
        </w:tc>
      </w:tr>
    </w:tbl>
    <w:p w14:paraId="36A2713B" w14:textId="4337E287" w:rsidR="00E2212A" w:rsidRPr="00E2212A" w:rsidRDefault="00E2212A" w:rsidP="00E2212A">
      <w:pPr>
        <w:spacing w:before="100" w:beforeAutospacing="1" w:after="100" w:afterAutospacing="1"/>
        <w:rPr>
          <w:rFonts w:ascii="Aptos" w:eastAsia="Times New Roman" w:hAnsi="Aptos" w:cs="Times New Roman"/>
        </w:rPr>
      </w:pPr>
      <w:r w:rsidRPr="00E2212A">
        <w:rPr>
          <w:rFonts w:ascii="Aptos" w:eastAsia="Times New Roman" w:hAnsi="Aptos" w:cs="Times New Roman"/>
        </w:rPr>
        <w:t xml:space="preserve">                </w:t>
      </w:r>
      <w:r w:rsidRPr="00E2212A">
        <w:rPr>
          <w:rFonts w:ascii="Aptos" w:eastAsia="Times New Roman" w:hAnsi="Aptos" w:cs="Times New Roman"/>
          <w:noProof/>
        </w:rPr>
        <w:drawing>
          <wp:inline distT="0" distB="0" distL="0" distR="0" wp14:anchorId="10DEA76C" wp14:editId="735F37DE">
            <wp:extent cx="5126575" cy="579965"/>
            <wp:effectExtent l="0" t="0" r="0" b="0"/>
            <wp:docPr id="1144297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297373" name=""/>
                    <pic:cNvPicPr/>
                  </pic:nvPicPr>
                  <pic:blipFill>
                    <a:blip r:embed="rId5"/>
                    <a:stretch>
                      <a:fillRect/>
                    </a:stretch>
                  </pic:blipFill>
                  <pic:spPr>
                    <a:xfrm>
                      <a:off x="0" y="0"/>
                      <a:ext cx="5200455" cy="588323"/>
                    </a:xfrm>
                    <a:prstGeom prst="rect">
                      <a:avLst/>
                    </a:prstGeom>
                  </pic:spPr>
                </pic:pic>
              </a:graphicData>
            </a:graphic>
          </wp:inline>
        </w:drawing>
      </w:r>
    </w:p>
    <w:p w14:paraId="5FE822A1" w14:textId="77777777" w:rsidR="005D6632" w:rsidRDefault="005D6632" w:rsidP="00E2212A">
      <w:pPr>
        <w:spacing w:after="100" w:afterAutospacing="1" w:line="240" w:lineRule="auto"/>
      </w:pPr>
    </w:p>
    <w:sectPr w:rsidR="005D66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97C8C"/>
    <w:multiLevelType w:val="multilevel"/>
    <w:tmpl w:val="9C9A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A31A9"/>
    <w:multiLevelType w:val="hybridMultilevel"/>
    <w:tmpl w:val="C93A5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C64AE1"/>
    <w:multiLevelType w:val="multilevel"/>
    <w:tmpl w:val="C63E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9289E"/>
    <w:multiLevelType w:val="hybridMultilevel"/>
    <w:tmpl w:val="F8963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A24E5C"/>
    <w:multiLevelType w:val="hybridMultilevel"/>
    <w:tmpl w:val="C902E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497391"/>
    <w:multiLevelType w:val="hybridMultilevel"/>
    <w:tmpl w:val="C2803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C039E9"/>
    <w:multiLevelType w:val="multilevel"/>
    <w:tmpl w:val="AEB83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1361481">
    <w:abstractNumId w:val="0"/>
  </w:num>
  <w:num w:numId="2" w16cid:durableId="1316563878">
    <w:abstractNumId w:val="4"/>
  </w:num>
  <w:num w:numId="3" w16cid:durableId="1658802081">
    <w:abstractNumId w:val="1"/>
  </w:num>
  <w:num w:numId="4" w16cid:durableId="636648648">
    <w:abstractNumId w:val="3"/>
  </w:num>
  <w:num w:numId="5" w16cid:durableId="298000520">
    <w:abstractNumId w:val="5"/>
  </w:num>
  <w:num w:numId="6" w16cid:durableId="1465386993">
    <w:abstractNumId w:val="6"/>
  </w:num>
  <w:num w:numId="7" w16cid:durableId="745685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FB9"/>
    <w:rsid w:val="000628A3"/>
    <w:rsid w:val="0007243D"/>
    <w:rsid w:val="00083692"/>
    <w:rsid w:val="000E79F5"/>
    <w:rsid w:val="00117FB9"/>
    <w:rsid w:val="00266044"/>
    <w:rsid w:val="00432A31"/>
    <w:rsid w:val="004C2447"/>
    <w:rsid w:val="00534734"/>
    <w:rsid w:val="005454BB"/>
    <w:rsid w:val="00572E6C"/>
    <w:rsid w:val="00590E93"/>
    <w:rsid w:val="005D6632"/>
    <w:rsid w:val="007D4035"/>
    <w:rsid w:val="00843ADA"/>
    <w:rsid w:val="00A81059"/>
    <w:rsid w:val="00A93A58"/>
    <w:rsid w:val="00AB1510"/>
    <w:rsid w:val="00B313B8"/>
    <w:rsid w:val="00E22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47A7E"/>
  <w15:chartTrackingRefBased/>
  <w15:docId w15:val="{9A5A9BCF-8210-4816-A9F7-6159E0888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035"/>
  </w:style>
  <w:style w:type="paragraph" w:styleId="Heading1">
    <w:name w:val="heading 1"/>
    <w:basedOn w:val="Normal"/>
    <w:next w:val="Normal"/>
    <w:link w:val="Heading1Char"/>
    <w:uiPriority w:val="9"/>
    <w:qFormat/>
    <w:rsid w:val="007D4035"/>
    <w:pPr>
      <w:keepNext/>
      <w:keepLines/>
      <w:pBdr>
        <w:bottom w:val="single" w:sz="4" w:space="2" w:color="E9713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7D4035"/>
    <w:pPr>
      <w:keepNext/>
      <w:keepLines/>
      <w:spacing w:before="120" w:after="0" w:line="240" w:lineRule="auto"/>
      <w:outlineLvl w:val="1"/>
    </w:pPr>
    <w:rPr>
      <w:rFonts w:asciiTheme="majorHAnsi" w:eastAsiaTheme="majorEastAsia" w:hAnsiTheme="majorHAnsi" w:cstheme="majorBidi"/>
      <w:color w:val="E97132" w:themeColor="accent2"/>
      <w:sz w:val="36"/>
      <w:szCs w:val="36"/>
    </w:rPr>
  </w:style>
  <w:style w:type="paragraph" w:styleId="Heading3">
    <w:name w:val="heading 3"/>
    <w:basedOn w:val="Normal"/>
    <w:next w:val="Normal"/>
    <w:link w:val="Heading3Char"/>
    <w:uiPriority w:val="9"/>
    <w:semiHidden/>
    <w:unhideWhenUsed/>
    <w:qFormat/>
    <w:rsid w:val="007D4035"/>
    <w:pPr>
      <w:keepNext/>
      <w:keepLines/>
      <w:spacing w:before="80" w:after="0" w:line="240" w:lineRule="auto"/>
      <w:outlineLvl w:val="2"/>
    </w:pPr>
    <w:rPr>
      <w:rFonts w:asciiTheme="majorHAnsi" w:eastAsiaTheme="majorEastAsia" w:hAnsiTheme="majorHAnsi" w:cstheme="majorBidi"/>
      <w:color w:val="BF4E14" w:themeColor="accent2" w:themeShade="BF"/>
      <w:sz w:val="32"/>
      <w:szCs w:val="32"/>
    </w:rPr>
  </w:style>
  <w:style w:type="paragraph" w:styleId="Heading4">
    <w:name w:val="heading 4"/>
    <w:basedOn w:val="Normal"/>
    <w:next w:val="Normal"/>
    <w:link w:val="Heading4Char"/>
    <w:uiPriority w:val="9"/>
    <w:semiHidden/>
    <w:unhideWhenUsed/>
    <w:qFormat/>
    <w:rsid w:val="007D4035"/>
    <w:pPr>
      <w:keepNext/>
      <w:keepLines/>
      <w:spacing w:before="80" w:after="0" w:line="240" w:lineRule="auto"/>
      <w:outlineLvl w:val="3"/>
    </w:pPr>
    <w:rPr>
      <w:rFonts w:asciiTheme="majorHAnsi" w:eastAsiaTheme="majorEastAsia" w:hAnsiTheme="majorHAnsi" w:cstheme="majorBidi"/>
      <w:i/>
      <w:iCs/>
      <w:color w:val="80340D" w:themeColor="accent2" w:themeShade="80"/>
      <w:sz w:val="28"/>
      <w:szCs w:val="28"/>
    </w:rPr>
  </w:style>
  <w:style w:type="paragraph" w:styleId="Heading5">
    <w:name w:val="heading 5"/>
    <w:basedOn w:val="Normal"/>
    <w:next w:val="Normal"/>
    <w:link w:val="Heading5Char"/>
    <w:uiPriority w:val="9"/>
    <w:semiHidden/>
    <w:unhideWhenUsed/>
    <w:qFormat/>
    <w:rsid w:val="007D4035"/>
    <w:pPr>
      <w:keepNext/>
      <w:keepLines/>
      <w:spacing w:before="80" w:after="0" w:line="240" w:lineRule="auto"/>
      <w:outlineLvl w:val="4"/>
    </w:pPr>
    <w:rPr>
      <w:rFonts w:asciiTheme="majorHAnsi" w:eastAsiaTheme="majorEastAsia" w:hAnsiTheme="majorHAnsi" w:cstheme="majorBidi"/>
      <w:color w:val="BF4E14" w:themeColor="accent2" w:themeShade="BF"/>
      <w:sz w:val="24"/>
      <w:szCs w:val="24"/>
    </w:rPr>
  </w:style>
  <w:style w:type="paragraph" w:styleId="Heading6">
    <w:name w:val="heading 6"/>
    <w:basedOn w:val="Normal"/>
    <w:next w:val="Normal"/>
    <w:link w:val="Heading6Char"/>
    <w:uiPriority w:val="9"/>
    <w:semiHidden/>
    <w:unhideWhenUsed/>
    <w:qFormat/>
    <w:rsid w:val="007D4035"/>
    <w:pPr>
      <w:keepNext/>
      <w:keepLines/>
      <w:spacing w:before="80" w:after="0" w:line="240" w:lineRule="auto"/>
      <w:outlineLvl w:val="5"/>
    </w:pPr>
    <w:rPr>
      <w:rFonts w:asciiTheme="majorHAnsi" w:eastAsiaTheme="majorEastAsia" w:hAnsiTheme="majorHAnsi" w:cstheme="majorBidi"/>
      <w:i/>
      <w:iCs/>
      <w:color w:val="80340D" w:themeColor="accent2" w:themeShade="80"/>
      <w:sz w:val="24"/>
      <w:szCs w:val="24"/>
    </w:rPr>
  </w:style>
  <w:style w:type="paragraph" w:styleId="Heading7">
    <w:name w:val="heading 7"/>
    <w:basedOn w:val="Normal"/>
    <w:next w:val="Normal"/>
    <w:link w:val="Heading7Char"/>
    <w:uiPriority w:val="9"/>
    <w:semiHidden/>
    <w:unhideWhenUsed/>
    <w:qFormat/>
    <w:rsid w:val="007D4035"/>
    <w:pPr>
      <w:keepNext/>
      <w:keepLines/>
      <w:spacing w:before="80" w:after="0" w:line="240" w:lineRule="auto"/>
      <w:outlineLvl w:val="6"/>
    </w:pPr>
    <w:rPr>
      <w:rFonts w:asciiTheme="majorHAnsi" w:eastAsiaTheme="majorEastAsia" w:hAnsiTheme="majorHAnsi" w:cstheme="majorBidi"/>
      <w:b/>
      <w:bCs/>
      <w:color w:val="80340D" w:themeColor="accent2" w:themeShade="80"/>
      <w:sz w:val="22"/>
      <w:szCs w:val="22"/>
    </w:rPr>
  </w:style>
  <w:style w:type="paragraph" w:styleId="Heading8">
    <w:name w:val="heading 8"/>
    <w:basedOn w:val="Normal"/>
    <w:next w:val="Normal"/>
    <w:link w:val="Heading8Char"/>
    <w:uiPriority w:val="9"/>
    <w:semiHidden/>
    <w:unhideWhenUsed/>
    <w:qFormat/>
    <w:rsid w:val="007D4035"/>
    <w:pPr>
      <w:keepNext/>
      <w:keepLines/>
      <w:spacing w:before="80" w:after="0" w:line="240" w:lineRule="auto"/>
      <w:outlineLvl w:val="7"/>
    </w:pPr>
    <w:rPr>
      <w:rFonts w:asciiTheme="majorHAnsi" w:eastAsiaTheme="majorEastAsia" w:hAnsiTheme="majorHAnsi" w:cstheme="majorBidi"/>
      <w:color w:val="80340D" w:themeColor="accent2" w:themeShade="80"/>
      <w:sz w:val="22"/>
      <w:szCs w:val="22"/>
    </w:rPr>
  </w:style>
  <w:style w:type="paragraph" w:styleId="Heading9">
    <w:name w:val="heading 9"/>
    <w:basedOn w:val="Normal"/>
    <w:next w:val="Normal"/>
    <w:link w:val="Heading9Char"/>
    <w:uiPriority w:val="9"/>
    <w:semiHidden/>
    <w:unhideWhenUsed/>
    <w:qFormat/>
    <w:rsid w:val="007D4035"/>
    <w:pPr>
      <w:keepNext/>
      <w:keepLines/>
      <w:spacing w:before="80" w:after="0" w:line="240" w:lineRule="auto"/>
      <w:outlineLvl w:val="8"/>
    </w:pPr>
    <w:rPr>
      <w:rFonts w:asciiTheme="majorHAnsi" w:eastAsiaTheme="majorEastAsia" w:hAnsiTheme="majorHAnsi" w:cstheme="majorBidi"/>
      <w:i/>
      <w:iCs/>
      <w:color w:val="80340D"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035"/>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7D4035"/>
    <w:rPr>
      <w:rFonts w:asciiTheme="majorHAnsi" w:eastAsiaTheme="majorEastAsia" w:hAnsiTheme="majorHAnsi" w:cstheme="majorBidi"/>
      <w:color w:val="E97132" w:themeColor="accent2"/>
      <w:sz w:val="36"/>
      <w:szCs w:val="36"/>
    </w:rPr>
  </w:style>
  <w:style w:type="character" w:customStyle="1" w:styleId="Heading3Char">
    <w:name w:val="Heading 3 Char"/>
    <w:basedOn w:val="DefaultParagraphFont"/>
    <w:link w:val="Heading3"/>
    <w:uiPriority w:val="9"/>
    <w:semiHidden/>
    <w:rsid w:val="007D4035"/>
    <w:rPr>
      <w:rFonts w:asciiTheme="majorHAnsi" w:eastAsiaTheme="majorEastAsia" w:hAnsiTheme="majorHAnsi" w:cstheme="majorBidi"/>
      <w:color w:val="BF4E14" w:themeColor="accent2" w:themeShade="BF"/>
      <w:sz w:val="32"/>
      <w:szCs w:val="32"/>
    </w:rPr>
  </w:style>
  <w:style w:type="character" w:customStyle="1" w:styleId="Heading4Char">
    <w:name w:val="Heading 4 Char"/>
    <w:basedOn w:val="DefaultParagraphFont"/>
    <w:link w:val="Heading4"/>
    <w:uiPriority w:val="9"/>
    <w:semiHidden/>
    <w:rsid w:val="007D4035"/>
    <w:rPr>
      <w:rFonts w:asciiTheme="majorHAnsi" w:eastAsiaTheme="majorEastAsia" w:hAnsiTheme="majorHAnsi" w:cstheme="majorBidi"/>
      <w:i/>
      <w:iCs/>
      <w:color w:val="80340D" w:themeColor="accent2" w:themeShade="80"/>
      <w:sz w:val="28"/>
      <w:szCs w:val="28"/>
    </w:rPr>
  </w:style>
  <w:style w:type="character" w:customStyle="1" w:styleId="Heading5Char">
    <w:name w:val="Heading 5 Char"/>
    <w:basedOn w:val="DefaultParagraphFont"/>
    <w:link w:val="Heading5"/>
    <w:uiPriority w:val="9"/>
    <w:semiHidden/>
    <w:rsid w:val="007D4035"/>
    <w:rPr>
      <w:rFonts w:asciiTheme="majorHAnsi" w:eastAsiaTheme="majorEastAsia" w:hAnsiTheme="majorHAnsi" w:cstheme="majorBidi"/>
      <w:color w:val="BF4E14" w:themeColor="accent2" w:themeShade="BF"/>
      <w:sz w:val="24"/>
      <w:szCs w:val="24"/>
    </w:rPr>
  </w:style>
  <w:style w:type="character" w:customStyle="1" w:styleId="Heading6Char">
    <w:name w:val="Heading 6 Char"/>
    <w:basedOn w:val="DefaultParagraphFont"/>
    <w:link w:val="Heading6"/>
    <w:uiPriority w:val="9"/>
    <w:semiHidden/>
    <w:rsid w:val="007D4035"/>
    <w:rPr>
      <w:rFonts w:asciiTheme="majorHAnsi" w:eastAsiaTheme="majorEastAsia" w:hAnsiTheme="majorHAnsi" w:cstheme="majorBidi"/>
      <w:i/>
      <w:iCs/>
      <w:color w:val="80340D" w:themeColor="accent2" w:themeShade="80"/>
      <w:sz w:val="24"/>
      <w:szCs w:val="24"/>
    </w:rPr>
  </w:style>
  <w:style w:type="character" w:customStyle="1" w:styleId="Heading7Char">
    <w:name w:val="Heading 7 Char"/>
    <w:basedOn w:val="DefaultParagraphFont"/>
    <w:link w:val="Heading7"/>
    <w:uiPriority w:val="9"/>
    <w:semiHidden/>
    <w:rsid w:val="007D4035"/>
    <w:rPr>
      <w:rFonts w:asciiTheme="majorHAnsi" w:eastAsiaTheme="majorEastAsia" w:hAnsiTheme="majorHAnsi" w:cstheme="majorBidi"/>
      <w:b/>
      <w:bCs/>
      <w:color w:val="80340D" w:themeColor="accent2" w:themeShade="80"/>
      <w:sz w:val="22"/>
      <w:szCs w:val="22"/>
    </w:rPr>
  </w:style>
  <w:style w:type="character" w:customStyle="1" w:styleId="Heading8Char">
    <w:name w:val="Heading 8 Char"/>
    <w:basedOn w:val="DefaultParagraphFont"/>
    <w:link w:val="Heading8"/>
    <w:uiPriority w:val="9"/>
    <w:semiHidden/>
    <w:rsid w:val="007D4035"/>
    <w:rPr>
      <w:rFonts w:asciiTheme="majorHAnsi" w:eastAsiaTheme="majorEastAsia" w:hAnsiTheme="majorHAnsi" w:cstheme="majorBidi"/>
      <w:color w:val="80340D" w:themeColor="accent2" w:themeShade="80"/>
      <w:sz w:val="22"/>
      <w:szCs w:val="22"/>
    </w:rPr>
  </w:style>
  <w:style w:type="character" w:customStyle="1" w:styleId="Heading9Char">
    <w:name w:val="Heading 9 Char"/>
    <w:basedOn w:val="DefaultParagraphFont"/>
    <w:link w:val="Heading9"/>
    <w:uiPriority w:val="9"/>
    <w:semiHidden/>
    <w:rsid w:val="007D4035"/>
    <w:rPr>
      <w:rFonts w:asciiTheme="majorHAnsi" w:eastAsiaTheme="majorEastAsia" w:hAnsiTheme="majorHAnsi" w:cstheme="majorBidi"/>
      <w:i/>
      <w:iCs/>
      <w:color w:val="80340D" w:themeColor="accent2" w:themeShade="80"/>
      <w:sz w:val="22"/>
      <w:szCs w:val="22"/>
    </w:rPr>
  </w:style>
  <w:style w:type="paragraph" w:styleId="Title">
    <w:name w:val="Title"/>
    <w:basedOn w:val="Normal"/>
    <w:next w:val="Normal"/>
    <w:link w:val="TitleChar"/>
    <w:uiPriority w:val="10"/>
    <w:qFormat/>
    <w:rsid w:val="007D4035"/>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D4035"/>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7D4035"/>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7D4035"/>
    <w:rPr>
      <w:caps/>
      <w:color w:val="404040" w:themeColor="text1" w:themeTint="BF"/>
      <w:spacing w:val="20"/>
      <w:sz w:val="28"/>
      <w:szCs w:val="28"/>
    </w:rPr>
  </w:style>
  <w:style w:type="paragraph" w:styleId="Quote">
    <w:name w:val="Quote"/>
    <w:basedOn w:val="Normal"/>
    <w:next w:val="Normal"/>
    <w:link w:val="QuoteChar"/>
    <w:uiPriority w:val="29"/>
    <w:qFormat/>
    <w:rsid w:val="007D403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7D4035"/>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117FB9"/>
    <w:pPr>
      <w:ind w:left="720"/>
      <w:contextualSpacing/>
    </w:pPr>
  </w:style>
  <w:style w:type="character" w:styleId="IntenseEmphasis">
    <w:name w:val="Intense Emphasis"/>
    <w:basedOn w:val="DefaultParagraphFont"/>
    <w:uiPriority w:val="21"/>
    <w:qFormat/>
    <w:rsid w:val="007D4035"/>
    <w:rPr>
      <w:b/>
      <w:bCs/>
      <w:i/>
      <w:iCs/>
      <w:caps w:val="0"/>
      <w:smallCaps w:val="0"/>
      <w:strike w:val="0"/>
      <w:dstrike w:val="0"/>
      <w:color w:val="E97132" w:themeColor="accent2"/>
    </w:rPr>
  </w:style>
  <w:style w:type="paragraph" w:styleId="IntenseQuote">
    <w:name w:val="Intense Quote"/>
    <w:basedOn w:val="Normal"/>
    <w:next w:val="Normal"/>
    <w:link w:val="IntenseQuoteChar"/>
    <w:uiPriority w:val="30"/>
    <w:qFormat/>
    <w:rsid w:val="007D4035"/>
    <w:pPr>
      <w:pBdr>
        <w:top w:val="single" w:sz="24" w:space="4" w:color="E9713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7D4035"/>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7D4035"/>
    <w:rPr>
      <w:b/>
      <w:bCs/>
      <w:caps w:val="0"/>
      <w:smallCaps/>
      <w:color w:val="auto"/>
      <w:spacing w:val="0"/>
      <w:u w:val="single"/>
    </w:rPr>
  </w:style>
  <w:style w:type="table" w:styleId="TableGrid">
    <w:name w:val="Table Grid"/>
    <w:basedOn w:val="TableNormal"/>
    <w:uiPriority w:val="39"/>
    <w:rsid w:val="00117F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17F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117FB9"/>
    <w:pPr>
      <w:spacing w:before="100" w:beforeAutospacing="1" w:after="100" w:afterAutospacing="1" w:line="240" w:lineRule="auto"/>
    </w:pPr>
    <w:rPr>
      <w:rFonts w:ascii="Times New Roman" w:eastAsia="Times New Roman" w:hAnsi="Times New Roman" w:cs="Times New Roman"/>
    </w:rPr>
  </w:style>
  <w:style w:type="paragraph" w:styleId="Caption">
    <w:name w:val="caption"/>
    <w:basedOn w:val="Normal"/>
    <w:next w:val="Normal"/>
    <w:uiPriority w:val="35"/>
    <w:semiHidden/>
    <w:unhideWhenUsed/>
    <w:qFormat/>
    <w:rsid w:val="007D4035"/>
    <w:pPr>
      <w:spacing w:line="240" w:lineRule="auto"/>
    </w:pPr>
    <w:rPr>
      <w:b/>
      <w:bCs/>
      <w:color w:val="404040" w:themeColor="text1" w:themeTint="BF"/>
      <w:sz w:val="16"/>
      <w:szCs w:val="16"/>
    </w:rPr>
  </w:style>
  <w:style w:type="character" w:styleId="Strong">
    <w:name w:val="Strong"/>
    <w:basedOn w:val="DefaultParagraphFont"/>
    <w:uiPriority w:val="22"/>
    <w:qFormat/>
    <w:rsid w:val="007D4035"/>
    <w:rPr>
      <w:b/>
      <w:bCs/>
    </w:rPr>
  </w:style>
  <w:style w:type="character" w:styleId="Emphasis">
    <w:name w:val="Emphasis"/>
    <w:basedOn w:val="DefaultParagraphFont"/>
    <w:uiPriority w:val="20"/>
    <w:qFormat/>
    <w:rsid w:val="007D4035"/>
    <w:rPr>
      <w:i/>
      <w:iCs/>
      <w:color w:val="000000" w:themeColor="text1"/>
    </w:rPr>
  </w:style>
  <w:style w:type="paragraph" w:styleId="NoSpacing">
    <w:name w:val="No Spacing"/>
    <w:uiPriority w:val="1"/>
    <w:qFormat/>
    <w:rsid w:val="007D4035"/>
    <w:pPr>
      <w:spacing w:after="0" w:line="240" w:lineRule="auto"/>
    </w:pPr>
  </w:style>
  <w:style w:type="character" w:styleId="SubtleEmphasis">
    <w:name w:val="Subtle Emphasis"/>
    <w:basedOn w:val="DefaultParagraphFont"/>
    <w:uiPriority w:val="19"/>
    <w:qFormat/>
    <w:rsid w:val="007D4035"/>
    <w:rPr>
      <w:i/>
      <w:iCs/>
      <w:color w:val="595959" w:themeColor="text1" w:themeTint="A6"/>
    </w:rPr>
  </w:style>
  <w:style w:type="character" w:styleId="SubtleReference">
    <w:name w:val="Subtle Reference"/>
    <w:basedOn w:val="DefaultParagraphFont"/>
    <w:uiPriority w:val="31"/>
    <w:qFormat/>
    <w:rsid w:val="007D4035"/>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7D4035"/>
    <w:rPr>
      <w:b/>
      <w:bCs/>
      <w:caps w:val="0"/>
      <w:smallCaps/>
      <w:spacing w:val="0"/>
    </w:rPr>
  </w:style>
  <w:style w:type="paragraph" w:styleId="TOCHeading">
    <w:name w:val="TOC Heading"/>
    <w:basedOn w:val="Heading1"/>
    <w:next w:val="Normal"/>
    <w:uiPriority w:val="39"/>
    <w:semiHidden/>
    <w:unhideWhenUsed/>
    <w:qFormat/>
    <w:rsid w:val="007D403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624</Words>
  <Characters>3929</Characters>
  <Application>Microsoft Office Word</Application>
  <DocSecurity>0</DocSecurity>
  <Lines>126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K</dc:creator>
  <cp:keywords/>
  <dc:description/>
  <cp:lastModifiedBy>L K</cp:lastModifiedBy>
  <cp:revision>14</cp:revision>
  <dcterms:created xsi:type="dcterms:W3CDTF">2026-01-30T14:33:00Z</dcterms:created>
  <dcterms:modified xsi:type="dcterms:W3CDTF">2026-05-27T16:34:00Z</dcterms:modified>
</cp:coreProperties>
</file>