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120"/>
      </w:pPr>
      <w:r>
        <w:rPr>
          <w:b/>
          <w:bCs/>
          <w:color w:val="1F3864"/>
          <w:sz w:val="36"/>
          <w:szCs w:val="36"/>
        </w:rPr>
        <w:t xml:space="preserve">Standard Leasing Rate Sheet</w:t>
      </w:r>
    </w:p>
    <w:p>
      <w:pPr>
        <w:spacing w:after="160"/>
      </w:pPr>
      <w:r>
        <w:rPr>
          <w:i/>
          <w:iCs/>
          <w:color w:val="595959"/>
          <w:sz w:val="20"/>
          <w:szCs w:val="20"/>
        </w:rPr>
        <w:t xml:space="preserve">Current pricing — replaces any earlier figures in circulation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600"/>
        <w:gridCol w:w="7760"/>
      </w:tblGrid>
      <w:tr>
        <w:tc>
          <w:tcPr>
            <w:tcW w:type="dxa" w:w="16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595959"/>
                <w:sz w:val="22"/>
                <w:szCs w:val="22"/>
              </w:rPr>
              <w:t xml:space="preserve">To:</w:t>
            </w:r>
          </w:p>
        </w:tc>
        <w:tc>
          <w:tcPr>
            <w:tcW w:type="dxa" w:w="77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color w:val="000000"/>
                <w:sz w:val="22"/>
                <w:szCs w:val="22"/>
              </w:rPr>
              <w:t xml:space="preserve">Jordan Lanier Barkman — Teresa Batts Real Estate</w:t>
            </w:r>
          </w:p>
        </w:tc>
      </w:tr>
      <w:tr>
        <w:tc>
          <w:tcPr>
            <w:tcW w:type="dxa" w:w="16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595959"/>
                <w:sz w:val="22"/>
                <w:szCs w:val="22"/>
              </w:rPr>
              <w:t xml:space="preserve">From:</w:t>
            </w:r>
          </w:p>
        </w:tc>
        <w:tc>
          <w:tcPr>
            <w:tcW w:type="dxa" w:w="77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color w:val="000000"/>
                <w:sz w:val="22"/>
                <w:szCs w:val="22"/>
              </w:rPr>
              <w:t xml:space="preserve">Matt Canada — Managing Member, Sugar Creek MC LLC</w:t>
            </w:r>
          </w:p>
        </w:tc>
      </w:tr>
      <w:tr>
        <w:tc>
          <w:tcPr>
            <w:tcW w:type="dxa" w:w="16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595959"/>
                <w:sz w:val="22"/>
                <w:szCs w:val="22"/>
              </w:rPr>
              <w:t xml:space="preserve">Date:</w:t>
            </w:r>
          </w:p>
        </w:tc>
        <w:tc>
          <w:tcPr>
            <w:tcW w:type="dxa" w:w="77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color w:val="000000"/>
                <w:sz w:val="22"/>
                <w:szCs w:val="22"/>
              </w:rPr>
              <w:t xml:space="preserve">June 9, 2026</w:t>
            </w:r>
          </w:p>
        </w:tc>
      </w:tr>
      <w:tr>
        <w:tc>
          <w:tcPr>
            <w:tcW w:type="dxa" w:w="16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595959"/>
                <w:sz w:val="22"/>
                <w:szCs w:val="22"/>
              </w:rPr>
              <w:t xml:space="preserve">Re:</w:t>
            </w:r>
          </w:p>
        </w:tc>
        <w:tc>
          <w:tcPr>
            <w:tcW w:type="dxa" w:w="77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color w:val="000000"/>
                <w:sz w:val="22"/>
                <w:szCs w:val="22"/>
              </w:rPr>
              <w:t xml:space="preserve">Confirmed pricing — including first- vs. second-floor rates</w:t>
            </w:r>
          </w:p>
        </w:tc>
      </w:tr>
    </w:tbl>
    <w:p>
      <w:pPr>
        <w:spacing w:after="140"/>
      </w:pPr>
    </w:p>
    <w:p>
      <w:pPr>
        <w:spacing w:after="120"/>
      </w:pPr>
      <w:r>
        <w:rPr>
          <w:sz w:val="22"/>
          <w:szCs w:val="22"/>
        </w:rPr>
        <w:t xml:space="preserve">Jordan — here is the standard pricing as it currently stands, with the floor difference spelled out. Ground-floor space carries a $2.00 PSF premium over the second floor at each buildout level; everything else (CAM, escalation, term, and the utility connection) is identical on both floors. Nothing here is a new increase.</w:t>
      </w:r>
    </w:p>
    <w:p>
      <w:pPr>
        <w:pBdr>
          <w:bottom w:val="single" w:color="2E75B6" w:sz="6" w:space="2"/>
        </w:pBdr>
        <w:spacing w:after="120" w:before="260"/>
      </w:pPr>
      <w:r>
        <w:rPr>
          <w:b/>
          <w:bCs/>
          <w:color w:val="1F3864"/>
          <w:sz w:val="24"/>
          <w:szCs w:val="24"/>
        </w:rPr>
        <w:t xml:space="preserve">1.  Base Rental Rates by Floor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60"/>
        <w:gridCol w:w="3000"/>
        <w:gridCol w:w="3000"/>
      </w:tblGrid>
      <w:tr>
        <w:trPr>
          <w:tblHeader/>
        </w:trPr>
        <w:tc>
          <w:tcPr>
            <w:tcW w:type="dxa" w:w="33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Buildout Level</w:t>
            </w:r>
          </w:p>
        </w:tc>
        <w:tc>
          <w:tcPr>
            <w:tcW w:type="dxa" w:w="3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First Floor (Ground)</w:t>
            </w:r>
          </w:p>
        </w:tc>
        <w:tc>
          <w:tcPr>
            <w:tcW w:type="dxa" w:w="3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Second Floor (Upstairs)</w:t>
            </w:r>
          </w:p>
        </w:tc>
      </w:tr>
      <w:tr>
        <w:tc>
          <w:tcPr>
            <w:tcW w:type="dxa" w:w="33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Cold Dark Shell</w:t>
            </w:r>
          </w:p>
        </w:tc>
        <w:tc>
          <w:tcPr>
            <w:tcW w:type="dxa" w:w="3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$32.00 PSF, NNN</w:t>
            </w:r>
          </w:p>
        </w:tc>
        <w:tc>
          <w:tcPr>
            <w:tcW w:type="dxa" w:w="3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$30.00 PSF, NNN</w:t>
            </w:r>
          </w:p>
        </w:tc>
      </w:tr>
      <w:tr>
        <w:tc>
          <w:tcPr>
            <w:tcW w:type="dxa" w:w="33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Warm Vanilla Box</w:t>
            </w:r>
          </w:p>
        </w:tc>
        <w:tc>
          <w:tcPr>
            <w:tcW w:type="dxa" w:w="3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$34.00 PSF, NNN</w:t>
            </w:r>
          </w:p>
        </w:tc>
        <w:tc>
          <w:tcPr>
            <w:tcW w:type="dxa" w:w="3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$32.00 PSF, NNN</w:t>
            </w:r>
          </w:p>
        </w:tc>
      </w:tr>
    </w:tbl>
    <w:p>
      <w:pPr>
        <w:spacing w:after="30" w:before="120"/>
      </w:pPr>
      <w:r>
        <w:rPr>
          <w:i/>
          <w:iCs/>
          <w:color w:val="595959"/>
          <w:sz w:val="18"/>
          <w:szCs w:val="18"/>
        </w:rPr>
        <w:t xml:space="preserve">Second-floor space is priced $2.00 PSF below the ground floor at the same buildout level.</w:t>
      </w:r>
    </w:p>
    <w:p>
      <w:pPr>
        <w:spacing w:after="20"/>
      </w:pPr>
      <w:r>
        <w:rPr>
          <w:b/>
          <w:bCs/>
          <w:color w:val="1F3864"/>
          <w:sz w:val="20"/>
          <w:szCs w:val="20"/>
        </w:rPr>
        <w:t xml:space="preserve">Cold Dark Shell — </w:t>
      </w:r>
      <w:r>
        <w:rPr>
          <w:sz w:val="20"/>
          <w:szCs w:val="20"/>
        </w:rPr>
        <w:t xml:space="preserve">unfinished shell; tenant completes the full interior buildout.</w:t>
      </w:r>
    </w:p>
    <w:p>
      <w:r>
        <w:rPr>
          <w:b/>
          <w:bCs/>
          <w:color w:val="1F3864"/>
          <w:sz w:val="20"/>
          <w:szCs w:val="20"/>
        </w:rPr>
        <w:t xml:space="preserve">Warm Vanilla Box — </w:t>
      </w:r>
      <w:r>
        <w:rPr>
          <w:sz w:val="20"/>
          <w:szCs w:val="20"/>
        </w:rPr>
        <w:t xml:space="preserve">delivered demised and finished to a vanilla-box standard so the tenant shapes their own vision from there.</w:t>
      </w:r>
    </w:p>
    <w:p>
      <w:pPr>
        <w:pBdr>
          <w:bottom w:val="single" w:color="2E75B6" w:sz="6" w:space="2"/>
        </w:pBdr>
        <w:spacing w:after="120" w:before="260"/>
      </w:pPr>
      <w:r>
        <w:rPr>
          <w:b/>
          <w:bCs/>
          <w:color w:val="1F3864"/>
          <w:sz w:val="24"/>
          <w:szCs w:val="24"/>
        </w:rPr>
        <w:t xml:space="preserve">2.  Standard Lease Terms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360"/>
        <w:gridCol w:w="6000"/>
      </w:tblGrid>
      <w:tr>
        <w:tc>
          <w:tcPr>
            <w:tcW w:type="dxa" w:w="33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CAM (Common Area Maintenance)</w:t>
            </w:r>
          </w:p>
        </w:tc>
        <w:tc>
          <w:tcPr>
            <w:tcW w:type="dxa" w:w="6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color w:val="000000"/>
                <w:sz w:val="22"/>
                <w:szCs w:val="22"/>
              </w:rPr>
              <w:t xml:space="preserve">$4.00 PSF, annually</w:t>
            </w:r>
          </w:p>
        </w:tc>
      </w:tr>
      <w:tr>
        <w:tc>
          <w:tcPr>
            <w:tcW w:type="dxa" w:w="33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Annual Escalation</w:t>
            </w:r>
          </w:p>
        </w:tc>
        <w:tc>
          <w:tcPr>
            <w:tcW w:type="dxa" w:w="6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color w:val="000000"/>
                <w:sz w:val="22"/>
                <w:szCs w:val="22"/>
              </w:rPr>
              <w:t xml:space="preserve">3% per year</w:t>
            </w:r>
          </w:p>
        </w:tc>
      </w:tr>
      <w:tr>
        <w:tc>
          <w:tcPr>
            <w:tcW w:type="dxa" w:w="33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Lease Term</w:t>
            </w:r>
          </w:p>
        </w:tc>
        <w:tc>
          <w:tcPr>
            <w:tcW w:type="dxa" w:w="6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color w:val="000000"/>
                <w:sz w:val="22"/>
                <w:szCs w:val="22"/>
              </w:rPr>
              <w:t xml:space="preserve">5 or 10 years</w:t>
            </w:r>
          </w:p>
        </w:tc>
      </w:tr>
      <w:tr>
        <w:tc>
          <w:tcPr>
            <w:tcW w:type="dxa" w:w="336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Upfit / TI Allowance</w:t>
            </w:r>
          </w:p>
        </w:tc>
        <w:tc>
          <w:tcPr>
            <w:tcW w:type="dxa" w:w="600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None. </w:t>
            </w:r>
            <w:r>
              <w:rPr>
                <w:sz w:val="22"/>
                <w:szCs w:val="22"/>
              </w:rPr>
              <w:t xml:space="preserve">Not offered and not to be advertised in any proposal or term sheet.</w:t>
            </w:r>
          </w:p>
        </w:tc>
      </w:tr>
    </w:tbl>
    <w:p>
      <w:pPr>
        <w:pBdr>
          <w:bottom w:val="single" w:color="2E75B6" w:sz="6" w:space="2"/>
        </w:pBdr>
        <w:spacing w:after="120" w:before="260"/>
      </w:pPr>
      <w:r>
        <w:rPr>
          <w:b/>
          <w:bCs/>
          <w:color w:val="1F3864"/>
          <w:sz w:val="24"/>
          <w:szCs w:val="24"/>
        </w:rPr>
        <w:t xml:space="preserve">3.  Utility Connection  (same on both floors)</w:t>
      </w:r>
    </w:p>
    <w:p>
      <w:pPr>
        <w:spacing w:after="120"/>
      </w:pPr>
      <w:r>
        <w:rPr>
          <w:sz w:val="22"/>
          <w:szCs w:val="22"/>
        </w:rPr>
        <w:t xml:space="preserve">The water/utility connection runs $12,500 per unit. We cover that connection for the tenant and recover it through the rent, on the term-based schedule below — applied identically to first- and second-floor space. A tenant who elects to fund their own connection stays at the base rate.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4680"/>
        <w:gridCol w:w="4680"/>
      </w:tblGrid>
      <w:tr>
        <w:trPr>
          <w:tblHeader/>
        </w:trPr>
        <w:tc>
          <w:tcPr>
            <w:tcW w:type="dxa" w:w="468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Lease Term</w:t>
            </w:r>
          </w:p>
        </w:tc>
        <w:tc>
          <w:tcPr>
            <w:tcW w:type="dxa" w:w="468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Rent Add-On (Landlord pays connection)</w:t>
            </w:r>
          </w:p>
        </w:tc>
      </w:tr>
      <w:tr>
        <w:tc>
          <w:tcPr>
            <w:tcW w:type="dxa" w:w="468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10-Year Lease</w:t>
            </w:r>
          </w:p>
        </w:tc>
        <w:tc>
          <w:tcPr>
            <w:tcW w:type="dxa" w:w="468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+ $1.00 PSF</w:t>
            </w:r>
          </w:p>
        </w:tc>
      </w:tr>
      <w:tr>
        <w:tc>
          <w:tcPr>
            <w:tcW w:type="dxa" w:w="468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5-Year Lease</w:t>
            </w:r>
          </w:p>
        </w:tc>
        <w:tc>
          <w:tcPr>
            <w:tcW w:type="dxa" w:w="468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+ $2.00 PSF</w:t>
            </w:r>
          </w:p>
        </w:tc>
      </w:tr>
    </w:tbl>
    <w:p>
      <w:pPr>
        <w:pBdr>
          <w:bottom w:val="single" w:color="2E75B6" w:sz="6" w:space="2"/>
        </w:pBdr>
        <w:spacing w:after="120" w:before="260"/>
      </w:pPr>
      <w:r>
        <w:rPr>
          <w:b/>
          <w:bCs/>
          <w:color w:val="1F3864"/>
          <w:sz w:val="24"/>
          <w:szCs w:val="24"/>
        </w:rPr>
        <w:t xml:space="preserve">4.  Effective-Rate Quick Reference</w:t>
      </w:r>
    </w:p>
    <w:p>
      <w:pPr>
        <w:spacing w:after="120"/>
      </w:pPr>
      <w:r>
        <w:rPr>
          <w:color w:val="595959"/>
          <w:sz w:val="22"/>
          <w:szCs w:val="22"/>
        </w:rPr>
        <w:t xml:space="preserve">Base rate plus the utility add-on, by floor — so there's no math to do mid-conversation: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First Floor — Effective Rent, PSF (NNN)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5-Year Term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10-Year Term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Cold Dark Shell — base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$32.00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$32.00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Cold Dark Shell + LL utility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$34.00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$33.00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Warm Vanilla Box — base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$34.00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$34.00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Warm Vanilla Box + LL utility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$36.00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$35.00</w:t>
            </w:r>
          </w:p>
        </w:tc>
      </w:tr>
    </w:tbl>
    <w:p>
      <w:pPr>
        <w:spacing w:after="140"/>
      </w:pP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3120"/>
        <w:gridCol w:w="3120"/>
      </w:tblGrid>
      <w:tr>
        <w:trPr>
          <w:tblHeader/>
        </w:trP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Second Floor — Effective Rent, PSF (NNN)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5-Year Term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1F3864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FFFFFF"/>
                <w:sz w:val="22"/>
                <w:szCs w:val="22"/>
              </w:rPr>
              <w:t xml:space="preserve">10-Year Term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Cold Dark Shell — base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$30.00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$30.00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Cold Dark Shell + LL utility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$32.00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$31.00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Warm Vanilla Box — base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$32.00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$32.00</w:t>
            </w:r>
          </w:p>
        </w:tc>
      </w:tr>
      <w:tr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shd w:fill="EEF3FA" w:val="clear"/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left"/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Warm Vanilla Box + LL utility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$34.00</w:t>
            </w:r>
          </w:p>
        </w:tc>
        <w:tc>
          <w:tcPr>
            <w:tcW w:type="dxa" w:w="3120"/>
            <w:tcBorders>
              <w:top w:val="single" w:color="BBC4D4" w:sz="4"/>
              <w:left w:val="single" w:color="BBC4D4" w:sz="4"/>
              <w:bottom w:val="single" w:color="BBC4D4" w:sz="4"/>
              <w:right w:val="single" w:color="BBC4D4" w:sz="4"/>
            </w:tcBorders>
            <w:tcMar>
              <w:top w:type="dxa" w:w="90"/>
              <w:left w:type="dxa" w:w="140"/>
              <w:bottom w:type="dxa" w:w="90"/>
              <w:right w:type="dxa" w:w="14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F3864"/>
                <w:sz w:val="22"/>
                <w:szCs w:val="22"/>
              </w:rPr>
              <w:t xml:space="preserve">$33.00</w:t>
            </w:r>
          </w:p>
        </w:tc>
      </w:tr>
    </w:tbl>
    <w:p>
      <w:pPr>
        <w:spacing w:after="100"/>
      </w:pPr>
    </w:p>
    <w:p>
      <w:r>
        <w:rPr>
          <w:i/>
          <w:iCs/>
          <w:color w:val="595959"/>
          <w:sz w:val="18"/>
          <w:szCs w:val="18"/>
        </w:rPr>
        <w:t xml:space="preserve">All rates are NNN. CAM ($4.00 PSF) and the 3% annual escalation apply to every option above, on both floors.</w:t>
      </w:r>
    </w:p>
    <w:sectPr>
      <w:headerReference w:type="default" r:id="rId7"/>
      <w:footerReference w:type="default" r:id="rId8"/>
      <w:pgSz w:w="12240" w:h="15840" w:orient="portrait"/>
      <w:pgMar w:top="1260" w:right="1440" w:bottom="108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BBC4D4" w:sz="6" w:space="2"/>
      </w:pBdr>
      <w:jc w:val="center"/>
    </w:pPr>
    <w:r>
      <w:rPr>
        <w:color w:val="595959"/>
        <w:sz w:val="14"/>
        <w:szCs w:val="14"/>
      </w:rPr>
      <w:t xml:space="preserve">Confidential — for internal leasing use. Sugar Creek MC LLC.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0"/>
    </w:pPr>
    <w:r>
      <w:rPr>
        <w:b/>
        <w:bCs/>
        <w:color w:val="1F3864"/>
        <w:sz w:val="26"/>
        <w:szCs w:val="26"/>
      </w:rPr>
      <w:t xml:space="preserve">SUGAR CREEK RETAIL CENTER</w:t>
    </w:r>
  </w:p>
  <w:p>
    <w:pPr>
      <w:pBdr>
        <w:bottom w:val="single" w:color="1F3864" w:sz="10" w:space="2"/>
      </w:pBdr>
      <w:spacing w:after="60"/>
    </w:pPr>
    <w:r>
      <w:rPr>
        <w:color w:val="595959"/>
        <w:sz w:val="16"/>
        <w:szCs w:val="16"/>
      </w:rPr>
      <w:t xml:space="preserve">13900 NC Highway 50  ·  Surf City, NC 28445  ·  Developed by Sugar Creek MC LLC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2026-06-09T16:55:47.388Z</dcterms:created>
  <dcterms:modified xsi:type="dcterms:W3CDTF">2026-06-09T16:55:47.403Z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