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rFonts w:ascii="Times New Roman" w:cs="Times New Roman" w:eastAsia="Times New Roman" w:hAnsi="Times New Roman"/>
          <w:b/>
          <w:bCs/>
          <w:sz w:val="24"/>
          <w:szCs w:val="24"/>
        </w:rPr>
        <w:t xml:space="preserve">COLORADO HOSPITALITY SERVICES, INC.</w:t>
      </w:r>
    </w:p>
    <w:p>
      <w:pPr>
        <w:spacing w:after="60"/>
        <w:jc w:val="center"/>
      </w:pPr>
      <w:r>
        <w:rPr>
          <w:rFonts w:ascii="Times New Roman" w:cs="Times New Roman" w:eastAsia="Times New Roman" w:hAnsi="Times New Roman"/>
          <w:sz w:val="24"/>
          <w:szCs w:val="24"/>
        </w:rPr>
        <w:t xml:space="preserve">10 East 120th Avenue, Northglenn, Colorado 80233</w:t>
      </w:r>
    </w:p>
    <w:p>
      <w:pPr>
        <w:spacing w:after="120" w:before="360"/>
        <w:jc w:val="center"/>
      </w:pPr>
      <w:r>
        <w:rPr>
          <w:rFonts w:ascii="Times New Roman" w:cs="Times New Roman" w:eastAsia="Times New Roman" w:hAnsi="Times New Roman"/>
          <w:b/>
          <w:bCs/>
          <w:sz w:val="28"/>
          <w:szCs w:val="28"/>
        </w:rPr>
        <w:t xml:space="preserve">LISTING MEMORANDUM AND MARKETING PACKAGE</w:t>
      </w:r>
    </w:p>
    <w:p>
      <w:pPr>
        <w:spacing w:after="60"/>
        <w:jc w:val="center"/>
      </w:pPr>
      <w:r>
        <w:rPr>
          <w:rFonts w:ascii="Times New Roman" w:cs="Times New Roman" w:eastAsia="Times New Roman" w:hAnsi="Times New Roman"/>
          <w:b/>
          <w:bCs/>
          <w:sz w:val="24"/>
          <w:szCs w:val="24"/>
        </w:rPr>
        <w:t xml:space="preserve">Motel 6 and Studio 6 Aurora, Colorado (Medical Center)</w:t>
      </w:r>
    </w:p>
    <w:p>
      <w:pPr>
        <w:spacing w:after="60"/>
        <w:jc w:val="center"/>
      </w:pPr>
      <w:r>
        <w:rPr>
          <w:rFonts w:ascii="Times New Roman" w:cs="Times New Roman" w:eastAsia="Times New Roman" w:hAnsi="Times New Roman"/>
          <w:sz w:val="24"/>
          <w:szCs w:val="24"/>
        </w:rPr>
        <w:t xml:space="preserve">1011 South Abilene Street, Aurora, Colorado 80012</w:t>
      </w:r>
    </w:p>
    <w:p>
      <w:pPr>
        <w:spacing w:after="60"/>
        <w:jc w:val="center"/>
      </w:pPr>
      <w:r>
        <w:rPr>
          <w:rFonts w:ascii="Times New Roman" w:cs="Times New Roman" w:eastAsia="Times New Roman" w:hAnsi="Times New Roman"/>
          <w:sz w:val="24"/>
          <w:szCs w:val="24"/>
        </w:rPr>
        <w:t xml:space="preserve">Arapahoe County Parcel No. 1975-18-3-06-003</w:t>
      </w:r>
    </w:p>
    <w:p>
      <w:pPr>
        <w:spacing w:after="360"/>
        <w:jc w:val="center"/>
      </w:pPr>
      <w:r>
        <w:rPr>
          <w:rFonts w:ascii="Times New Roman" w:cs="Times New Roman" w:eastAsia="Times New Roman" w:hAnsi="Times New Roman"/>
          <w:sz w:val="24"/>
          <w:szCs w:val="24"/>
        </w:rPr>
        <w:t xml:space="preserve">September 1, 2026</w:t>
      </w:r>
    </w:p>
    <w:p>
      <w:pPr>
        <w:spacing w:after="160" w:line="276"/>
        <w:jc w:val="both"/>
      </w:pPr>
      <w:r>
        <w:rPr>
          <w:rFonts w:ascii="Times New Roman" w:cs="Times New Roman" w:eastAsia="Times New Roman" w:hAnsi="Times New Roman"/>
          <w:i/>
          <w:iCs/>
          <w:sz w:val="24"/>
          <w:szCs w:val="24"/>
        </w:rPr>
        <w:t xml:space="preserve">This memorandum assembles the information required to publish a LoopNet listing for the property identified above and sets out the basis for the proposed asking price. Items marked "to be confirmed" are drawn from public or brand records and must be verified against ownership's files before publication. Nothing in this memorandum is an appraisal or an opinion of value.</w:t>
      </w:r>
    </w:p>
    <w:p>
      <w:pPr>
        <w:keepNext/>
        <w:spacing w:after="160" w:before="320"/>
        <w:jc w:val="left"/>
      </w:pPr>
      <w:r>
        <w:rPr>
          <w:rFonts w:ascii="Times New Roman" w:cs="Times New Roman" w:eastAsia="Times New Roman" w:hAnsi="Times New Roman"/>
          <w:b/>
          <w:bCs/>
          <w:sz w:val="24"/>
          <w:szCs w:val="24"/>
          <w:u w:val="single"/>
        </w:rPr>
        <w:t xml:space="preserve">ARTICLE I. PROPERTY SUMMARY</w:t>
      </w:r>
    </w:p>
    <w:tbl>
      <w:tblPr>
        <w:tblW w:type="dxa" w:w="9360"/>
        <w:tblBorders>
          <w:top w:val="single" w:color="000000" w:sz="4"/>
          <w:left w:val="single" w:color="000000" w:sz="4"/>
          <w:bottom w:val="single" w:color="000000" w:sz="4"/>
          <w:right w:val="single" w:color="000000" w:sz="4"/>
          <w:insideH w:val="single" w:color="000000" w:sz="4"/>
          <w:insideV w:val="single" w:color="000000" w:sz="4"/>
        </w:tblBorders>
      </w:tblPr>
      <w:tblGrid>
        <w:gridCol w:w="2200"/>
        <w:gridCol w:w="4560"/>
        <w:gridCol w:w="2600"/>
      </w:tblGrid>
      <w:tr>
        <w:trPr>
          <w:cantSplit/>
          <w:tblHeader/>
        </w:trPr>
        <w:tc>
          <w:tcPr>
            <w:tcW w:type="dxa" w:w="2200"/>
            <w:tcMar>
              <w:top w:type="dxa" w:w="70"/>
              <w:left w:type="dxa" w:w="100"/>
              <w:bottom w:type="dxa" w:w="70"/>
              <w:right w:type="dxa" w:w="100"/>
            </w:tcMar>
          </w:tcPr>
          <w:p>
            <w:r>
              <w:rPr>
                <w:rFonts w:ascii="Times New Roman" w:cs="Times New Roman" w:eastAsia="Times New Roman" w:hAnsi="Times New Roman"/>
                <w:b/>
                <w:bCs/>
                <w:sz w:val="20"/>
                <w:szCs w:val="20"/>
              </w:rPr>
              <w:t xml:space="preserve">Item</w:t>
            </w:r>
          </w:p>
        </w:tc>
        <w:tc>
          <w:tcPr>
            <w:tcW w:type="dxa" w:w="4560"/>
            <w:tcMar>
              <w:top w:type="dxa" w:w="70"/>
              <w:left w:type="dxa" w:w="100"/>
              <w:bottom w:type="dxa" w:w="70"/>
              <w:right w:type="dxa" w:w="100"/>
            </w:tcMar>
          </w:tcPr>
          <w:p>
            <w:r>
              <w:rPr>
                <w:rFonts w:ascii="Times New Roman" w:cs="Times New Roman" w:eastAsia="Times New Roman" w:hAnsi="Times New Roman"/>
                <w:b/>
                <w:bCs/>
                <w:sz w:val="20"/>
                <w:szCs w:val="20"/>
              </w:rPr>
              <w:t xml:space="preserve">Information</w:t>
            </w:r>
          </w:p>
        </w:tc>
        <w:tc>
          <w:tcPr>
            <w:tcW w:type="dxa" w:w="2600"/>
            <w:tcMar>
              <w:top w:type="dxa" w:w="70"/>
              <w:left w:type="dxa" w:w="100"/>
              <w:bottom w:type="dxa" w:w="70"/>
              <w:right w:type="dxa" w:w="100"/>
            </w:tcMar>
          </w:tcPr>
          <w:p>
            <w:r>
              <w:rPr>
                <w:rFonts w:ascii="Times New Roman" w:cs="Times New Roman" w:eastAsia="Times New Roman" w:hAnsi="Times New Roman"/>
                <w:b/>
                <w:bCs/>
                <w:sz w:val="20"/>
                <w:szCs w:val="20"/>
              </w:rPr>
              <w:t xml:space="preserve">Source</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Listing type</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For sale. Hospitality (hotel), economy and extended stay.</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LoopNet category</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Proposed asking price</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$7,250,000 (approximately $59,400 per key and $154 per building square foot)</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Article V</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Property name</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Motel 6 and Studio 6 Aurora, Colorado (Medical Center)</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Brand property pages</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Address</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1011 South Abilene Street, Aurora, Colorado 80012-3687</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Assessor</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Parcel and PIN</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Parcel 1975-18-3-06-003; PIN 032298634</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Assessor</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Record owner</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Limon Hospitality LLC</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Assessor</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Guest rooms</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122 rooms (to be confirmed, including the division between Motel 6 and Studio 6 inventory)</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Legacy brand and GDS records</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Stories and design</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Two stories; exterior corridor courtyard configuration</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Brand records; photographs</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Building area</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46,988 square feet (assessor heated area)</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CAMA</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Land area</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2.39 acres (104,344 square feet)</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CAMA</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Year built</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1981 per assessor, effective year 1995. Brand records show 1983 construction and a 2001 renovation. Recently reflagged and refreshed (scope and dates to be confirmed).</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Assessor; GDS records</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Construction class</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Class C; limited service hotel</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CAMA</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Assessor neighborhood</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Neighborhood 3089, Aurora Mall Influence</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Assessor</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2025 actual value</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$5,818,000 (land $1,041,080; improvements $4,776,920). Assessed value $1,454,500.</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Assessor</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Last recorded sale</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May 2019, $6,500,000 (Reception No. D9043156)</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Arapahoe County Assessor</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Amenities</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Seasonal outdoor pool, guest laundry, complimentary wireless internet, complimentary parking, kitchenette rooms and full kitchen suites, accessible rooms, lobby lounge</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Brand pages; photographs</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Published rates</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Motel 6 approximately $65 to $74 per night. Studio 6 approximately $65 to $77 per night, $455 per week, and $1,950 per month.</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Brand pages, August and September 2026</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Zoning</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To be confirmed with the City of Aurora Planning Department</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Not verified</w:t>
            </w:r>
          </w:p>
        </w:tc>
      </w:tr>
      <w:tr>
        <w:trPr>
          <w:cantSplit/>
          <w:tblHeader w:val="false"/>
        </w:trPr>
        <w:tc>
          <w:tcPr>
            <w:tcW w:type="dxa" w:w="2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Franchise</w:t>
            </w:r>
          </w:p>
        </w:tc>
        <w:tc>
          <w:tcPr>
            <w:tcW w:type="dxa" w:w="45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Motel 6 and Studio 6 (G6 Hospitality, an OYO company). Term, transfer fee, and property improvement plan requirements to be confirmed.</w:t>
            </w:r>
          </w:p>
        </w:tc>
        <w:tc>
          <w:tcPr>
            <w:tcW w:type="dxa" w:w="2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Franchise agreement</w:t>
            </w:r>
          </w:p>
        </w:tc>
      </w:tr>
    </w:tbl>
    <w:p>
      <w:pPr>
        <w:keepNext/>
        <w:spacing w:after="160" w:before="320"/>
        <w:jc w:val="left"/>
      </w:pPr>
      <w:r>
        <w:rPr>
          <w:rFonts w:ascii="Times New Roman" w:cs="Times New Roman" w:eastAsia="Times New Roman" w:hAnsi="Times New Roman"/>
          <w:b/>
          <w:bCs/>
          <w:sz w:val="24"/>
          <w:szCs w:val="24"/>
          <w:u w:val="single"/>
        </w:rPr>
        <w:t xml:space="preserve">ARTICLE II. LISTING TITLE</w:t>
      </w:r>
    </w:p>
    <w:p>
      <w:pPr>
        <w:spacing w:after="160" w:line="276"/>
        <w:jc w:val="both"/>
      </w:pPr>
      <w:r>
        <w:rPr>
          <w:rFonts w:ascii="Times New Roman" w:cs="Times New Roman" w:eastAsia="Times New Roman" w:hAnsi="Times New Roman"/>
          <w:sz w:val="24"/>
          <w:szCs w:val="24"/>
        </w:rPr>
        <w:t xml:space="preserve">The following titles are proposed for the LoopNet headline field. Ownership should select one.</w:t>
      </w:r>
    </w:p>
    <w:p>
      <w:pPr>
        <w:pStyle w:val="ListParagraph"/>
        <w:numPr>
          <w:ilvl w:val="0"/>
          <w:numId w:val="2"/>
        </w:numPr>
        <w:spacing w:after="100" w:line="276"/>
        <w:jc w:val="both"/>
      </w:pPr>
      <w:r>
        <w:rPr>
          <w:rFonts w:ascii="Times New Roman" w:cs="Times New Roman" w:eastAsia="Times New Roman" w:hAnsi="Times New Roman"/>
          <w:sz w:val="24"/>
          <w:szCs w:val="24"/>
        </w:rPr>
        <w:t xml:space="preserve">122 Key Dual Branded Motel 6 and Studio 6 on 2.39 Acres at Interstate 225 and Mississippi Avenue, Aurora Medical District</w:t>
      </w:r>
    </w:p>
    <w:p>
      <w:pPr>
        <w:pStyle w:val="ListParagraph"/>
        <w:numPr>
          <w:ilvl w:val="0"/>
          <w:numId w:val="2"/>
        </w:numPr>
        <w:spacing w:after="100" w:line="276"/>
        <w:jc w:val="both"/>
      </w:pPr>
      <w:r>
        <w:rPr>
          <w:rFonts w:ascii="Times New Roman" w:cs="Times New Roman" w:eastAsia="Times New Roman" w:hAnsi="Times New Roman"/>
          <w:sz w:val="24"/>
          <w:szCs w:val="24"/>
        </w:rPr>
        <w:t xml:space="preserve">Dual Branded Economy and Extended Stay Hotel, 122 Keys, Recently Reflagged, Aurora, Colorado</w:t>
      </w:r>
    </w:p>
    <w:p>
      <w:pPr>
        <w:pStyle w:val="ListParagraph"/>
        <w:numPr>
          <w:ilvl w:val="0"/>
          <w:numId w:val="2"/>
        </w:numPr>
        <w:spacing w:after="100" w:line="276"/>
        <w:jc w:val="both"/>
      </w:pPr>
      <w:r>
        <w:rPr>
          <w:rFonts w:ascii="Times New Roman" w:cs="Times New Roman" w:eastAsia="Times New Roman" w:hAnsi="Times New Roman"/>
          <w:sz w:val="24"/>
          <w:szCs w:val="24"/>
        </w:rPr>
        <w:t xml:space="preserve">Motel 6 and Studio 6 Aurora Medical Center, 122 Rooms, Pool, Full Kitchen Suites, 2.39 Acres</w:t>
      </w:r>
    </w:p>
    <w:p>
      <w:pPr>
        <w:keepNext/>
        <w:spacing w:after="160" w:before="320"/>
        <w:jc w:val="left"/>
      </w:pPr>
      <w:r>
        <w:rPr>
          <w:rFonts w:ascii="Times New Roman" w:cs="Times New Roman" w:eastAsia="Times New Roman" w:hAnsi="Times New Roman"/>
          <w:b/>
          <w:bCs/>
          <w:sz w:val="24"/>
          <w:szCs w:val="24"/>
          <w:u w:val="single"/>
        </w:rPr>
        <w:t xml:space="preserve">ARTICLE III. LISTING DESCRIPTION</w:t>
      </w:r>
    </w:p>
    <w:p>
      <w:pPr>
        <w:keepNext/>
        <w:spacing w:after="120" w:before="200"/>
        <w:jc w:val="left"/>
      </w:pPr>
      <w:r>
        <w:rPr>
          <w:rFonts w:ascii="Times New Roman" w:cs="Times New Roman" w:eastAsia="Times New Roman" w:hAnsi="Times New Roman"/>
          <w:b/>
          <w:bCs/>
          <w:sz w:val="24"/>
          <w:szCs w:val="24"/>
        </w:rPr>
        <w:t xml:space="preserve">A. Full Description</w:t>
      </w:r>
    </w:p>
    <w:p>
      <w:pPr>
        <w:spacing w:after="160" w:line="276"/>
        <w:jc w:val="both"/>
      </w:pPr>
      <w:r>
        <w:rPr>
          <w:rFonts w:ascii="Times New Roman" w:cs="Times New Roman" w:eastAsia="Times New Roman" w:hAnsi="Times New Roman"/>
          <w:sz w:val="24"/>
          <w:szCs w:val="24"/>
        </w:rPr>
        <w:t xml:space="preserve">Colorado Hospitality Services, Inc. presents the opportunity to acquire the Motel 6 and Studio 6 Aurora, Colorado (Medical Center), a 122 key, dual branded hotel situated on 2.39 acres at 1011 South Abilene Street in Aurora, Colorado. The property operates under two of the most recognized names in economy lodging. Motel 6 serves transient and budget travelers, and Studio 6 serves extended stay guests. The result is two revenue streams under one roof, with a single staff and a single set of fixed costs.</w:t>
      </w:r>
    </w:p>
    <w:p>
      <w:pPr>
        <w:spacing w:after="160" w:line="276"/>
        <w:jc w:val="both"/>
      </w:pPr>
      <w:r>
        <w:rPr>
          <w:rFonts w:ascii="Times New Roman" w:cs="Times New Roman" w:eastAsia="Times New Roman" w:hAnsi="Times New Roman"/>
          <w:sz w:val="24"/>
          <w:szCs w:val="24"/>
        </w:rPr>
        <w:t xml:space="preserve">The two story, courtyard style property was recently reflagged and refreshed. Guest rooms feature updated case goods, plank flooring, flat panel televisions, and modern bathrooms, and a substantial portion of the inventory is equipped with in room kitchenettes. Studio 6 suites offer full kitchens with ranges, full size refrigerators, dining areas, and separate living areas with sofas. These suites command weekly and monthly rates and attract traveling medical professionals, relocating families, contractors, and guests displaced by insurance events. Accessible rooms, a seasonal outdoor pool, guest laundry, complimentary wireless internet, and ample complimentary surface parking complete the amenity package. A renovated lobby with a stone accented front desk and lounge seating sets the tone on arrival.</w:t>
      </w:r>
    </w:p>
    <w:p>
      <w:pPr>
        <w:spacing w:after="160" w:line="276"/>
        <w:jc w:val="both"/>
      </w:pPr>
      <w:r>
        <w:rPr>
          <w:rFonts w:ascii="Times New Roman" w:cs="Times New Roman" w:eastAsia="Times New Roman" w:hAnsi="Times New Roman"/>
          <w:sz w:val="24"/>
          <w:szCs w:val="24"/>
        </w:rPr>
        <w:t xml:space="preserve">Location drives this asset. The hotel sits one block from Interstate 225 at the Mississippi Avenue interchange (Exit 7), providing direct freeway access to Denver International Airport, the Denver Tech Center, and downtown Denver. Within approximately one mile are Town Center at Aurora, the HCA HealthONE Aurora hospital campus (The Medical Center of Aurora), and the RTD R Line Florida Station. The University of Colorado Anschutz Medical Campus and Children's Hospital Colorado are approximately five miles to the north. The surrounding Abilene Street and Mississippi Avenue corridor is a dense retail, dining, and medical office node with a strong daytime population and consistent lodging demand.</w:t>
      </w:r>
    </w:p>
    <w:p>
      <w:pPr>
        <w:spacing w:after="160" w:line="276"/>
        <w:jc w:val="both"/>
      </w:pPr>
      <w:r>
        <w:rPr>
          <w:rFonts w:ascii="Times New Roman" w:cs="Times New Roman" w:eastAsia="Times New Roman" w:hAnsi="Times New Roman"/>
          <w:sz w:val="24"/>
          <w:szCs w:val="24"/>
        </w:rPr>
        <w:t xml:space="preserve">The 2.39 acre site provides a low site coverage ratio, generous parking, and long term flexibility. A buyer may continue the dual brand strategy, convert additional rooms to extended stay kitchenette product to increase weekly and monthly occupancy, or evaluate alternative uses for the excess land, subject to City of Aurora approvals.</w:t>
      </w:r>
    </w:p>
    <w:p>
      <w:pPr>
        <w:spacing w:after="160" w:line="276"/>
        <w:jc w:val="both"/>
      </w:pPr>
      <w:r>
        <w:rPr>
          <w:rFonts w:ascii="Times New Roman" w:cs="Times New Roman" w:eastAsia="Times New Roman" w:hAnsi="Times New Roman"/>
          <w:sz w:val="24"/>
          <w:szCs w:val="24"/>
        </w:rPr>
        <w:t xml:space="preserve">The property is well suited to an owner operator or a regional hotel group seeking a stabilized, brand affiliated economy asset in the Denver metropolitan area at an attractive basis per key and well below replacement cost. Financial statements, STR reports, and franchise documents are available to qualified buyers upon execution of a confidentiality agreement.</w:t>
      </w:r>
    </w:p>
    <w:p>
      <w:pPr>
        <w:keepNext/>
        <w:spacing w:after="120" w:before="200"/>
        <w:jc w:val="left"/>
      </w:pPr>
      <w:r>
        <w:rPr>
          <w:rFonts w:ascii="Times New Roman" w:cs="Times New Roman" w:eastAsia="Times New Roman" w:hAnsi="Times New Roman"/>
          <w:b/>
          <w:bCs/>
          <w:sz w:val="24"/>
          <w:szCs w:val="24"/>
        </w:rPr>
        <w:t xml:space="preserve">B. Summary Description (approximately 300 characters)</w:t>
      </w:r>
    </w:p>
    <w:p>
      <w:pPr>
        <w:spacing w:after="160" w:line="276"/>
        <w:jc w:val="both"/>
      </w:pPr>
      <w:r>
        <w:rPr>
          <w:rFonts w:ascii="Times New Roman" w:cs="Times New Roman" w:eastAsia="Times New Roman" w:hAnsi="Times New Roman"/>
          <w:sz w:val="24"/>
          <w:szCs w:val="24"/>
        </w:rPr>
        <w:t xml:space="preserve">122 key dual branded Motel 6 and Studio 6 on 2.39 acres at Interstate 225 and Mississippi Avenue in the Aurora medical district. Recently reflagged and refreshed. Kitchenette rooms, full kitchen extended stay suites, pool, and guest laundry. Stabilized economy asset offered well below replacement cost.</w:t>
      </w:r>
    </w:p>
    <w:p>
      <w:pPr>
        <w:keepNext/>
        <w:spacing w:after="160" w:before="320"/>
        <w:jc w:val="left"/>
      </w:pPr>
      <w:r>
        <w:rPr>
          <w:rFonts w:ascii="Times New Roman" w:cs="Times New Roman" w:eastAsia="Times New Roman" w:hAnsi="Times New Roman"/>
          <w:b/>
          <w:bCs/>
          <w:sz w:val="24"/>
          <w:szCs w:val="24"/>
          <w:u w:val="single"/>
        </w:rPr>
        <w:t xml:space="preserve">ARTICLE IV. INVESTMENT AND LOCATION HIGHLIGHTS</w:t>
      </w:r>
    </w:p>
    <w:p>
      <w:pPr>
        <w:keepNext/>
        <w:spacing w:after="120" w:before="200"/>
        <w:jc w:val="left"/>
      </w:pPr>
      <w:r>
        <w:rPr>
          <w:rFonts w:ascii="Times New Roman" w:cs="Times New Roman" w:eastAsia="Times New Roman" w:hAnsi="Times New Roman"/>
          <w:b/>
          <w:bCs/>
          <w:sz w:val="24"/>
          <w:szCs w:val="24"/>
        </w:rPr>
        <w:t xml:space="preserve">A. Investment Highlights</w:t>
      </w:r>
    </w:p>
    <w:p>
      <w:pPr>
        <w:pStyle w:val="ListParagraph"/>
        <w:numPr>
          <w:ilvl w:val="0"/>
          <w:numId w:val="3"/>
        </w:numPr>
        <w:spacing w:after="100" w:line="276"/>
        <w:jc w:val="both"/>
      </w:pPr>
      <w:r>
        <w:rPr>
          <w:rFonts w:ascii="Times New Roman" w:cs="Times New Roman" w:eastAsia="Times New Roman" w:hAnsi="Times New Roman"/>
          <w:sz w:val="24"/>
          <w:szCs w:val="24"/>
        </w:rPr>
        <w:t xml:space="preserve">Two brands and one operation. Motel 6 serves transient demand and Studio 6 serves extended stay demand, which diversifies the guest base and moderates seasonality.</w:t>
      </w:r>
    </w:p>
    <w:p>
      <w:pPr>
        <w:pStyle w:val="ListParagraph"/>
        <w:numPr>
          <w:ilvl w:val="0"/>
          <w:numId w:val="3"/>
        </w:numPr>
        <w:spacing w:after="100" w:line="276"/>
        <w:jc w:val="both"/>
      </w:pPr>
      <w:r>
        <w:rPr>
          <w:rFonts w:ascii="Times New Roman" w:cs="Times New Roman" w:eastAsia="Times New Roman" w:hAnsi="Times New Roman"/>
          <w:sz w:val="24"/>
          <w:szCs w:val="24"/>
        </w:rPr>
        <w:t xml:space="preserve">122 keys on 2.39 acres, providing low density, ample surface parking, and land value.</w:t>
      </w:r>
    </w:p>
    <w:p>
      <w:pPr>
        <w:pStyle w:val="ListParagraph"/>
        <w:numPr>
          <w:ilvl w:val="0"/>
          <w:numId w:val="3"/>
        </w:numPr>
        <w:spacing w:after="100" w:line="276"/>
        <w:jc w:val="both"/>
      </w:pPr>
      <w:r>
        <w:rPr>
          <w:rFonts w:ascii="Times New Roman" w:cs="Times New Roman" w:eastAsia="Times New Roman" w:hAnsi="Times New Roman"/>
          <w:sz w:val="24"/>
          <w:szCs w:val="24"/>
        </w:rPr>
        <w:t xml:space="preserve">Recently reflagged and refreshed guest rooms, bathrooms, and lobby, with a consistent modern room product across both brands.</w:t>
      </w:r>
    </w:p>
    <w:p>
      <w:pPr>
        <w:pStyle w:val="ListParagraph"/>
        <w:numPr>
          <w:ilvl w:val="0"/>
          <w:numId w:val="3"/>
        </w:numPr>
        <w:spacing w:after="100" w:line="276"/>
        <w:jc w:val="both"/>
      </w:pPr>
      <w:r>
        <w:rPr>
          <w:rFonts w:ascii="Times New Roman" w:cs="Times New Roman" w:eastAsia="Times New Roman" w:hAnsi="Times New Roman"/>
          <w:sz w:val="24"/>
          <w:szCs w:val="24"/>
        </w:rPr>
        <w:t xml:space="preserve">Kitchenette rooms and full kitchen suites support weekly and monthly rate programs. Published Studio 6 rates are approximately $455 per week and $1,950 per month.</w:t>
      </w:r>
    </w:p>
    <w:p>
      <w:pPr>
        <w:pStyle w:val="ListParagraph"/>
        <w:numPr>
          <w:ilvl w:val="0"/>
          <w:numId w:val="3"/>
        </w:numPr>
        <w:spacing w:after="100" w:line="276"/>
        <w:jc w:val="both"/>
      </w:pPr>
      <w:r>
        <w:rPr>
          <w:rFonts w:ascii="Times New Roman" w:cs="Times New Roman" w:eastAsia="Times New Roman" w:hAnsi="Times New Roman"/>
          <w:sz w:val="24"/>
          <w:szCs w:val="24"/>
        </w:rPr>
        <w:t xml:space="preserve">Offered at approximately $59,000 per key, a fraction of new construction economy and extended stay replacement cost.</w:t>
      </w:r>
    </w:p>
    <w:p>
      <w:pPr>
        <w:pStyle w:val="ListParagraph"/>
        <w:numPr>
          <w:ilvl w:val="0"/>
          <w:numId w:val="3"/>
        </w:numPr>
        <w:spacing w:after="100" w:line="276"/>
        <w:jc w:val="both"/>
      </w:pPr>
      <w:r>
        <w:rPr>
          <w:rFonts w:ascii="Times New Roman" w:cs="Times New Roman" w:eastAsia="Times New Roman" w:hAnsi="Times New Roman"/>
          <w:sz w:val="24"/>
          <w:szCs w:val="24"/>
        </w:rPr>
        <w:t xml:space="preserve">Brand affiliation with G6 Hospitality (Motel 6 and Studio 6), owned by OYO since December 2024, with national reservation distribution and the My6 loyalty program.</w:t>
      </w:r>
    </w:p>
    <w:p>
      <w:pPr>
        <w:pStyle w:val="ListParagraph"/>
        <w:numPr>
          <w:ilvl w:val="0"/>
          <w:numId w:val="3"/>
        </w:numPr>
        <w:spacing w:after="100" w:line="276"/>
        <w:jc w:val="both"/>
      </w:pPr>
      <w:r>
        <w:rPr>
          <w:rFonts w:ascii="Times New Roman" w:cs="Times New Roman" w:eastAsia="Times New Roman" w:hAnsi="Times New Roman"/>
          <w:sz w:val="24"/>
          <w:szCs w:val="24"/>
        </w:rPr>
        <w:t xml:space="preserve">Suited to an owner operator. Limited service model with no food and beverage operation and no meeting space to staff.</w:t>
      </w:r>
    </w:p>
    <w:p>
      <w:pPr>
        <w:keepNext/>
        <w:spacing w:after="120" w:before="200"/>
        <w:jc w:val="left"/>
      </w:pPr>
      <w:r>
        <w:rPr>
          <w:rFonts w:ascii="Times New Roman" w:cs="Times New Roman" w:eastAsia="Times New Roman" w:hAnsi="Times New Roman"/>
          <w:b/>
          <w:bCs/>
          <w:sz w:val="24"/>
          <w:szCs w:val="24"/>
        </w:rPr>
        <w:t xml:space="preserve">B. Location Highlights</w:t>
      </w:r>
    </w:p>
    <w:p>
      <w:pPr>
        <w:pStyle w:val="ListParagraph"/>
        <w:numPr>
          <w:ilvl w:val="0"/>
          <w:numId w:val="4"/>
        </w:numPr>
        <w:spacing w:after="100" w:line="276"/>
        <w:jc w:val="both"/>
      </w:pPr>
      <w:r>
        <w:rPr>
          <w:rFonts w:ascii="Times New Roman" w:cs="Times New Roman" w:eastAsia="Times New Roman" w:hAnsi="Times New Roman"/>
          <w:sz w:val="24"/>
          <w:szCs w:val="24"/>
        </w:rPr>
        <w:t xml:space="preserve">One block from Interstate 225 at Mississippi Avenue (Exit 7), with strong freeway visibility and access.</w:t>
      </w:r>
    </w:p>
    <w:p>
      <w:pPr>
        <w:pStyle w:val="ListParagraph"/>
        <w:numPr>
          <w:ilvl w:val="0"/>
          <w:numId w:val="4"/>
        </w:numPr>
        <w:spacing w:after="100" w:line="276"/>
        <w:jc w:val="both"/>
      </w:pPr>
      <w:r>
        <w:rPr>
          <w:rFonts w:ascii="Times New Roman" w:cs="Times New Roman" w:eastAsia="Times New Roman" w:hAnsi="Times New Roman"/>
          <w:sz w:val="24"/>
          <w:szCs w:val="24"/>
        </w:rPr>
        <w:t xml:space="preserve">Approximately one mile from HCA HealthONE Aurora (The Medical Center of Aurora), a 346 bed hospital campus.</w:t>
      </w:r>
    </w:p>
    <w:p>
      <w:pPr>
        <w:pStyle w:val="ListParagraph"/>
        <w:numPr>
          <w:ilvl w:val="0"/>
          <w:numId w:val="4"/>
        </w:numPr>
        <w:spacing w:after="100" w:line="276"/>
        <w:jc w:val="both"/>
      </w:pPr>
      <w:r>
        <w:rPr>
          <w:rFonts w:ascii="Times New Roman" w:cs="Times New Roman" w:eastAsia="Times New Roman" w:hAnsi="Times New Roman"/>
          <w:sz w:val="24"/>
          <w:szCs w:val="24"/>
        </w:rPr>
        <w:t xml:space="preserve">Approximately one mile from Town Center at Aurora and the Abilene Street and Alameda Avenue retail corridor.</w:t>
      </w:r>
    </w:p>
    <w:p>
      <w:pPr>
        <w:pStyle w:val="ListParagraph"/>
        <w:numPr>
          <w:ilvl w:val="0"/>
          <w:numId w:val="4"/>
        </w:numPr>
        <w:spacing w:after="100" w:line="276"/>
        <w:jc w:val="both"/>
      </w:pPr>
      <w:r>
        <w:rPr>
          <w:rFonts w:ascii="Times New Roman" w:cs="Times New Roman" w:eastAsia="Times New Roman" w:hAnsi="Times New Roman"/>
          <w:sz w:val="24"/>
          <w:szCs w:val="24"/>
        </w:rPr>
        <w:t xml:space="preserve">Walking distance to the RTD R Line Florida Station light rail stop.</w:t>
      </w:r>
    </w:p>
    <w:p>
      <w:pPr>
        <w:pStyle w:val="ListParagraph"/>
        <w:numPr>
          <w:ilvl w:val="0"/>
          <w:numId w:val="4"/>
        </w:numPr>
        <w:spacing w:after="100" w:line="276"/>
        <w:jc w:val="both"/>
      </w:pPr>
      <w:r>
        <w:rPr>
          <w:rFonts w:ascii="Times New Roman" w:cs="Times New Roman" w:eastAsia="Times New Roman" w:hAnsi="Times New Roman"/>
          <w:sz w:val="24"/>
          <w:szCs w:val="24"/>
        </w:rPr>
        <w:t xml:space="preserve">Approximately five miles from the CU Anschutz Medical Campus, UCHealth University of Colorado Hospital, and Children's Hospital Colorado.</w:t>
      </w:r>
    </w:p>
    <w:p>
      <w:pPr>
        <w:pStyle w:val="ListParagraph"/>
        <w:numPr>
          <w:ilvl w:val="0"/>
          <w:numId w:val="4"/>
        </w:numPr>
        <w:spacing w:after="100" w:line="276"/>
        <w:jc w:val="both"/>
      </w:pPr>
      <w:r>
        <w:rPr>
          <w:rFonts w:ascii="Times New Roman" w:cs="Times New Roman" w:eastAsia="Times New Roman" w:hAnsi="Times New Roman"/>
          <w:sz w:val="24"/>
          <w:szCs w:val="24"/>
        </w:rPr>
        <w:t xml:space="preserve">Approximately fourteen miles from Denver International Airport and approximately ten miles from downtown Denver and the Denver Tech Center.</w:t>
      </w:r>
    </w:p>
    <w:p>
      <w:r>
        <w:br w:type="page"/>
      </w:r>
    </w:p>
    <w:p>
      <w:pPr>
        <w:keepNext/>
        <w:spacing w:after="160" w:before="320"/>
        <w:jc w:val="left"/>
      </w:pPr>
      <w:r>
        <w:rPr>
          <w:rFonts w:ascii="Times New Roman" w:cs="Times New Roman" w:eastAsia="Times New Roman" w:hAnsi="Times New Roman"/>
          <w:b/>
          <w:bCs/>
          <w:sz w:val="24"/>
          <w:szCs w:val="24"/>
          <w:u w:val="single"/>
        </w:rPr>
        <w:t xml:space="preserve">ARTICLE V. BASIS FOR THE PROPOSED ASKING PRICE</w:t>
      </w:r>
    </w:p>
    <w:p>
      <w:pPr>
        <w:spacing w:after="160" w:line="276"/>
        <w:jc w:val="both"/>
      </w:pPr>
      <w:r>
        <w:rPr>
          <w:rFonts w:ascii="Times New Roman" w:cs="Times New Roman" w:eastAsia="Times New Roman" w:hAnsi="Times New Roman"/>
          <w:i/>
          <w:iCs/>
          <w:sz w:val="24"/>
          <w:szCs w:val="24"/>
        </w:rPr>
        <w:t xml:space="preserve">The proposed asking price is an ownership estimate assembled from public records, current market listings, and published market commentary. It is not an appraisal. The trailing twelve month operating statement and STR report should be tested against the assumptions below before the price is published, and the asking price should be adjusted if actual net operating income differs materially.</w:t>
      </w:r>
    </w:p>
    <w:p>
      <w:pPr>
        <w:keepNext/>
        <w:spacing w:after="120" w:before="200"/>
        <w:jc w:val="left"/>
      </w:pPr>
      <w:r>
        <w:rPr>
          <w:rFonts w:ascii="Times New Roman" w:cs="Times New Roman" w:eastAsia="Times New Roman" w:hAnsi="Times New Roman"/>
          <w:b/>
          <w:bCs/>
          <w:sz w:val="24"/>
          <w:szCs w:val="24"/>
        </w:rPr>
        <w:t xml:space="preserve">A. Public Record Anchors</w:t>
      </w:r>
    </w:p>
    <w:tbl>
      <w:tblPr>
        <w:tblW w:type="dxa" w:w="9360"/>
        <w:tblBorders>
          <w:top w:val="single" w:color="000000" w:sz="4"/>
          <w:left w:val="single" w:color="000000" w:sz="4"/>
          <w:bottom w:val="single" w:color="000000" w:sz="4"/>
          <w:right w:val="single" w:color="000000" w:sz="4"/>
          <w:insideH w:val="single" w:color="000000" w:sz="4"/>
          <w:insideV w:val="single" w:color="000000" w:sz="4"/>
        </w:tblBorders>
      </w:tblPr>
      <w:tblGrid>
        <w:gridCol w:w="2500"/>
        <w:gridCol w:w="1500"/>
        <w:gridCol w:w="1500"/>
        <w:gridCol w:w="3860"/>
      </w:tblGrid>
      <w:tr>
        <w:trPr>
          <w:cantSplit/>
          <w:tblHeader/>
        </w:trPr>
        <w:tc>
          <w:tcPr>
            <w:tcW w:type="dxa" w:w="2500"/>
            <w:tcMar>
              <w:top w:type="dxa" w:w="70"/>
              <w:left w:type="dxa" w:w="100"/>
              <w:bottom w:type="dxa" w:w="70"/>
              <w:right w:type="dxa" w:w="100"/>
            </w:tcMar>
          </w:tcPr>
          <w:p>
            <w:r>
              <w:rPr>
                <w:rFonts w:ascii="Times New Roman" w:cs="Times New Roman" w:eastAsia="Times New Roman" w:hAnsi="Times New Roman"/>
                <w:b/>
                <w:bCs/>
                <w:sz w:val="20"/>
                <w:szCs w:val="20"/>
              </w:rPr>
              <w:t xml:space="preserve">Anchor</w:t>
            </w:r>
          </w:p>
        </w:tc>
        <w:tc>
          <w:tcPr>
            <w:tcW w:type="dxa" w:w="1500"/>
            <w:tcMar>
              <w:top w:type="dxa" w:w="70"/>
              <w:left w:type="dxa" w:w="100"/>
              <w:bottom w:type="dxa" w:w="70"/>
              <w:right w:type="dxa" w:w="100"/>
            </w:tcMar>
          </w:tcPr>
          <w:p>
            <w:r>
              <w:rPr>
                <w:rFonts w:ascii="Times New Roman" w:cs="Times New Roman" w:eastAsia="Times New Roman" w:hAnsi="Times New Roman"/>
                <w:b/>
                <w:bCs/>
                <w:sz w:val="20"/>
                <w:szCs w:val="20"/>
              </w:rPr>
              <w:t xml:space="preserve">Amount</w:t>
            </w:r>
          </w:p>
        </w:tc>
        <w:tc>
          <w:tcPr>
            <w:tcW w:type="dxa" w:w="1500"/>
            <w:tcMar>
              <w:top w:type="dxa" w:w="70"/>
              <w:left w:type="dxa" w:w="100"/>
              <w:bottom w:type="dxa" w:w="70"/>
              <w:right w:type="dxa" w:w="100"/>
            </w:tcMar>
          </w:tcPr>
          <w:p>
            <w:r>
              <w:rPr>
                <w:rFonts w:ascii="Times New Roman" w:cs="Times New Roman" w:eastAsia="Times New Roman" w:hAnsi="Times New Roman"/>
                <w:b/>
                <w:bCs/>
                <w:sz w:val="20"/>
                <w:szCs w:val="20"/>
              </w:rPr>
              <w:t xml:space="preserve">Per key (122)</w:t>
            </w:r>
          </w:p>
        </w:tc>
        <w:tc>
          <w:tcPr>
            <w:tcW w:type="dxa" w:w="3860"/>
            <w:tcMar>
              <w:top w:type="dxa" w:w="70"/>
              <w:left w:type="dxa" w:w="100"/>
              <w:bottom w:type="dxa" w:w="70"/>
              <w:right w:type="dxa" w:w="100"/>
            </w:tcMar>
          </w:tcPr>
          <w:p>
            <w:r>
              <w:rPr>
                <w:rFonts w:ascii="Times New Roman" w:cs="Times New Roman" w:eastAsia="Times New Roman" w:hAnsi="Times New Roman"/>
                <w:b/>
                <w:bCs/>
                <w:sz w:val="20"/>
                <w:szCs w:val="20"/>
              </w:rPr>
              <w:t xml:space="preserve">Comment</w:t>
            </w:r>
          </w:p>
        </w:tc>
      </w:tr>
      <w:tr>
        <w:trPr>
          <w:cantSplit/>
          <w:tblHeader w:val="false"/>
        </w:trPr>
        <w:tc>
          <w:tcPr>
            <w:tcW w:type="dxa" w:w="2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May 2019 purchase price</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$6,500,000</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$53,279</w:t>
            </w:r>
          </w:p>
        </w:tc>
        <w:tc>
          <w:tcPr>
            <w:tcW w:type="dxa" w:w="38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Basis prior to reflag and renovation</w:t>
            </w:r>
          </w:p>
        </w:tc>
      </w:tr>
      <w:tr>
        <w:trPr>
          <w:cantSplit/>
          <w:tblHeader w:val="false"/>
        </w:trPr>
        <w:tc>
          <w:tcPr>
            <w:tcW w:type="dxa" w:w="2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2025 assessor actual value</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$5,818,000</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$47,689</w:t>
            </w:r>
          </w:p>
        </w:tc>
        <w:tc>
          <w:tcPr>
            <w:tcW w:type="dxa" w:w="38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Mass appraisal value; typically trails market for refreshed product</w:t>
            </w:r>
          </w:p>
        </w:tc>
      </w:tr>
      <w:tr>
        <w:trPr>
          <w:cantSplit/>
          <w:tblHeader w:val="false"/>
        </w:trPr>
        <w:tc>
          <w:tcPr>
            <w:tcW w:type="dxa" w:w="2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Assessor land value</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$1,041,080</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Not applicable</w:t>
            </w:r>
          </w:p>
        </w:tc>
        <w:tc>
          <w:tcPr>
            <w:tcW w:type="dxa" w:w="38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Approximately $10 per square foot; supports a land floor</w:t>
            </w:r>
          </w:p>
        </w:tc>
      </w:tr>
    </w:tbl>
    <w:p>
      <w:pPr>
        <w:spacing w:after="160"/>
      </w:pPr>
    </w:p>
    <w:p>
      <w:pPr>
        <w:keepNext/>
        <w:spacing w:after="120" w:before="200"/>
        <w:jc w:val="left"/>
      </w:pPr>
      <w:r>
        <w:rPr>
          <w:rFonts w:ascii="Times New Roman" w:cs="Times New Roman" w:eastAsia="Times New Roman" w:hAnsi="Times New Roman"/>
          <w:b/>
          <w:bCs/>
          <w:sz w:val="24"/>
          <w:szCs w:val="24"/>
        </w:rPr>
        <w:t xml:space="preserve">B. Competitive Listings on LoopNet (Denver Metropolitan Area, September 1, 2026)</w:t>
      </w:r>
    </w:p>
    <w:tbl>
      <w:tblPr>
        <w:tblW w:type="dxa" w:w="9360"/>
        <w:tblBorders>
          <w:top w:val="single" w:color="000000" w:sz="4"/>
          <w:left w:val="single" w:color="000000" w:sz="4"/>
          <w:bottom w:val="single" w:color="000000" w:sz="4"/>
          <w:right w:val="single" w:color="000000" w:sz="4"/>
          <w:insideH w:val="single" w:color="000000" w:sz="4"/>
          <w:insideV w:val="single" w:color="000000" w:sz="4"/>
        </w:tblBorders>
      </w:tblPr>
      <w:tblGrid>
        <w:gridCol w:w="3200"/>
        <w:gridCol w:w="700"/>
        <w:gridCol w:w="1500"/>
        <w:gridCol w:w="1300"/>
        <w:gridCol w:w="2660"/>
      </w:tblGrid>
      <w:tr>
        <w:trPr>
          <w:cantSplit/>
          <w:tblHeader/>
        </w:trPr>
        <w:tc>
          <w:tcPr>
            <w:tcW w:type="dxa" w:w="3200"/>
            <w:tcMar>
              <w:top w:type="dxa" w:w="70"/>
              <w:left w:type="dxa" w:w="100"/>
              <w:bottom w:type="dxa" w:w="70"/>
              <w:right w:type="dxa" w:w="100"/>
            </w:tcMar>
          </w:tcPr>
          <w:p>
            <w:r>
              <w:rPr>
                <w:rFonts w:ascii="Times New Roman" w:cs="Times New Roman" w:eastAsia="Times New Roman" w:hAnsi="Times New Roman"/>
                <w:b/>
                <w:bCs/>
                <w:sz w:val="20"/>
                <w:szCs w:val="20"/>
              </w:rPr>
              <w:t xml:space="preserve">Listing</w:t>
            </w:r>
          </w:p>
        </w:tc>
        <w:tc>
          <w:tcPr>
            <w:tcW w:type="dxa" w:w="700"/>
            <w:tcMar>
              <w:top w:type="dxa" w:w="70"/>
              <w:left w:type="dxa" w:w="100"/>
              <w:bottom w:type="dxa" w:w="70"/>
              <w:right w:type="dxa" w:w="100"/>
            </w:tcMar>
          </w:tcPr>
          <w:p>
            <w:r>
              <w:rPr>
                <w:rFonts w:ascii="Times New Roman" w:cs="Times New Roman" w:eastAsia="Times New Roman" w:hAnsi="Times New Roman"/>
                <w:b/>
                <w:bCs/>
                <w:sz w:val="20"/>
                <w:szCs w:val="20"/>
              </w:rPr>
              <w:t xml:space="preserve">Keys</w:t>
            </w:r>
          </w:p>
        </w:tc>
        <w:tc>
          <w:tcPr>
            <w:tcW w:type="dxa" w:w="1500"/>
            <w:tcMar>
              <w:top w:type="dxa" w:w="70"/>
              <w:left w:type="dxa" w:w="100"/>
              <w:bottom w:type="dxa" w:w="70"/>
              <w:right w:type="dxa" w:w="100"/>
            </w:tcMar>
          </w:tcPr>
          <w:p>
            <w:r>
              <w:rPr>
                <w:rFonts w:ascii="Times New Roman" w:cs="Times New Roman" w:eastAsia="Times New Roman" w:hAnsi="Times New Roman"/>
                <w:b/>
                <w:bCs/>
                <w:sz w:val="20"/>
                <w:szCs w:val="20"/>
              </w:rPr>
              <w:t xml:space="preserve">Asking price</w:t>
            </w:r>
          </w:p>
        </w:tc>
        <w:tc>
          <w:tcPr>
            <w:tcW w:type="dxa" w:w="1300"/>
            <w:tcMar>
              <w:top w:type="dxa" w:w="70"/>
              <w:left w:type="dxa" w:w="100"/>
              <w:bottom w:type="dxa" w:w="70"/>
              <w:right w:type="dxa" w:w="100"/>
            </w:tcMar>
          </w:tcPr>
          <w:p>
            <w:r>
              <w:rPr>
                <w:rFonts w:ascii="Times New Roman" w:cs="Times New Roman" w:eastAsia="Times New Roman" w:hAnsi="Times New Roman"/>
                <w:b/>
                <w:bCs/>
                <w:sz w:val="20"/>
                <w:szCs w:val="20"/>
              </w:rPr>
              <w:t xml:space="preserve">Per key</w:t>
            </w:r>
          </w:p>
        </w:tc>
        <w:tc>
          <w:tcPr>
            <w:tcW w:type="dxa" w:w="2660"/>
            <w:tcMar>
              <w:top w:type="dxa" w:w="70"/>
              <w:left w:type="dxa" w:w="100"/>
              <w:bottom w:type="dxa" w:w="70"/>
              <w:right w:type="dxa" w:w="100"/>
            </w:tcMar>
          </w:tcPr>
          <w:p>
            <w:r>
              <w:rPr>
                <w:rFonts w:ascii="Times New Roman" w:cs="Times New Roman" w:eastAsia="Times New Roman" w:hAnsi="Times New Roman"/>
                <w:b/>
                <w:bCs/>
                <w:sz w:val="20"/>
                <w:szCs w:val="20"/>
              </w:rPr>
              <w:t xml:space="preserve">Comment</w:t>
            </w:r>
          </w:p>
        </w:tc>
      </w:tr>
      <w:tr>
        <w:trPr>
          <w:cantSplit/>
          <w:tblHeader w:val="false"/>
        </w:trPr>
        <w:tc>
          <w:tcPr>
            <w:tcW w:type="dxa" w:w="3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Baymont Lakewood, 11909 West 6th Avenue</w:t>
            </w:r>
          </w:p>
        </w:tc>
        <w:tc>
          <w:tcPr>
            <w:tcW w:type="dxa" w:w="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62</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$4,500,000</w:t>
            </w:r>
          </w:p>
        </w:tc>
        <w:tc>
          <w:tcPr>
            <w:tcW w:type="dxa" w:w="13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$72,581</w:t>
            </w:r>
          </w:p>
        </w:tc>
        <w:tc>
          <w:tcPr>
            <w:tcW w:type="dxa" w:w="26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Economy</w:t>
            </w:r>
          </w:p>
        </w:tc>
      </w:tr>
      <w:tr>
        <w:trPr>
          <w:cantSplit/>
          <w:tblHeader w:val="false"/>
        </w:trPr>
        <w:tc>
          <w:tcPr>
            <w:tcW w:type="dxa" w:w="3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Wingate by Wyndham, Greenwood Village</w:t>
            </w:r>
          </w:p>
        </w:tc>
        <w:tc>
          <w:tcPr>
            <w:tcW w:type="dxa" w:w="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86</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$7,000,000</w:t>
            </w:r>
          </w:p>
        </w:tc>
        <w:tc>
          <w:tcPr>
            <w:tcW w:type="dxa" w:w="13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$81,395</w:t>
            </w:r>
          </w:p>
        </w:tc>
        <w:tc>
          <w:tcPr>
            <w:tcW w:type="dxa" w:w="26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Midscale, Denver Tech Center</w:t>
            </w:r>
          </w:p>
        </w:tc>
      </w:tr>
      <w:tr>
        <w:trPr>
          <w:cantSplit/>
          <w:tblHeader w:val="false"/>
        </w:trPr>
        <w:tc>
          <w:tcPr>
            <w:tcW w:type="dxa" w:w="3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Top Star Motel, 10890 East Colfax Avenue, Aurora</w:t>
            </w:r>
          </w:p>
        </w:tc>
        <w:tc>
          <w:tcPr>
            <w:tcW w:type="dxa" w:w="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20</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$1,390,000</w:t>
            </w:r>
          </w:p>
        </w:tc>
        <w:tc>
          <w:tcPr>
            <w:tcW w:type="dxa" w:w="13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$69,500</w:t>
            </w:r>
          </w:p>
        </w:tc>
        <w:tc>
          <w:tcPr>
            <w:tcW w:type="dxa" w:w="26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Independent motel</w:t>
            </w:r>
          </w:p>
        </w:tc>
      </w:tr>
      <w:tr>
        <w:trPr>
          <w:cantSplit/>
          <w:tblHeader w:val="false"/>
        </w:trPr>
        <w:tc>
          <w:tcPr>
            <w:tcW w:type="dxa" w:w="3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Comfort Suites Aurora, 14571 East Colfax Avenue</w:t>
            </w:r>
          </w:p>
        </w:tc>
        <w:tc>
          <w:tcPr>
            <w:tcW w:type="dxa" w:w="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90</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Upon request</w:t>
            </w:r>
          </w:p>
        </w:tc>
        <w:tc>
          <w:tcPr>
            <w:tcW w:type="dxa" w:w="13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Not published</w:t>
            </w:r>
          </w:p>
        </w:tc>
        <w:tc>
          <w:tcPr>
            <w:tcW w:type="dxa" w:w="26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Midscale</w:t>
            </w:r>
          </w:p>
        </w:tc>
      </w:tr>
      <w:tr>
        <w:trPr>
          <w:cantSplit/>
          <w:tblHeader w:val="false"/>
        </w:trPr>
        <w:tc>
          <w:tcPr>
            <w:tcW w:type="dxa" w:w="3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SYLO Hotel (Ramada), 16921 East 32nd Avenue, Aurora</w:t>
            </w:r>
          </w:p>
        </w:tc>
        <w:tc>
          <w:tcPr>
            <w:tcW w:type="dxa" w:w="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95</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Upon request</w:t>
            </w:r>
          </w:p>
        </w:tc>
        <w:tc>
          <w:tcPr>
            <w:tcW w:type="dxa" w:w="13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Not published</w:t>
            </w:r>
          </w:p>
        </w:tc>
        <w:tc>
          <w:tcPr>
            <w:tcW w:type="dxa" w:w="26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Airport submarket</w:t>
            </w:r>
          </w:p>
        </w:tc>
      </w:tr>
      <w:tr>
        <w:trPr>
          <w:cantSplit/>
          <w:tblHeader w:val="false"/>
        </w:trPr>
        <w:tc>
          <w:tcPr>
            <w:tcW w:type="dxa" w:w="32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Best Western Denver East, 4411 Peoria Street</w:t>
            </w:r>
          </w:p>
        </w:tc>
        <w:tc>
          <w:tcPr>
            <w:tcW w:type="dxa" w:w="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103</w:t>
            </w:r>
          </w:p>
        </w:tc>
        <w:tc>
          <w:tcPr>
            <w:tcW w:type="dxa" w:w="15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$19,499,999</w:t>
            </w:r>
          </w:p>
        </w:tc>
        <w:tc>
          <w:tcPr>
            <w:tcW w:type="dxa" w:w="13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$189,320</w:t>
            </w:r>
          </w:p>
        </w:tc>
        <w:tc>
          <w:tcPr>
            <w:tcW w:type="dxa" w:w="26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Ownership listing; not an economy comparable</w:t>
            </w:r>
          </w:p>
        </w:tc>
      </w:tr>
    </w:tbl>
    <w:p>
      <w:pPr>
        <w:spacing w:after="160"/>
      </w:pPr>
    </w:p>
    <w:p>
      <w:pPr>
        <w:spacing w:after="160" w:line="276"/>
        <w:jc w:val="both"/>
      </w:pPr>
      <w:r>
        <w:rPr>
          <w:rFonts w:ascii="Times New Roman" w:cs="Times New Roman" w:eastAsia="Times New Roman" w:hAnsi="Times New Roman"/>
          <w:sz w:val="24"/>
          <w:szCs w:val="24"/>
        </w:rPr>
        <w:t xml:space="preserve">Asking prices are not closed sales, but they indicate where economy and lower midscale product is being marketed in the metropolitan area, which is approximately $70,000 to $81,000 per key for smaller, interior corridor, or newer vintage assets. A 1981 exterior corridor courtyard hotel of Class C construction should be priced at a discount to that range, offset by the recent reflag, the kitchen and kitchenette inventory, and the 2.39 acre site.</w:t>
      </w:r>
    </w:p>
    <w:p>
      <w:pPr>
        <w:keepNext/>
        <w:spacing w:after="120" w:before="200"/>
        <w:jc w:val="left"/>
      </w:pPr>
      <w:r>
        <w:rPr>
          <w:rFonts w:ascii="Times New Roman" w:cs="Times New Roman" w:eastAsia="Times New Roman" w:hAnsi="Times New Roman"/>
          <w:b/>
          <w:bCs/>
          <w:sz w:val="24"/>
          <w:szCs w:val="24"/>
        </w:rPr>
        <w:t xml:space="preserve">C. Income Approach (illustrative, subject to the trailing twelve month statement)</w:t>
      </w:r>
    </w:p>
    <w:tbl>
      <w:tblPr>
        <w:tblW w:type="dxa" w:w="9360"/>
        <w:tblBorders>
          <w:top w:val="single" w:color="000000" w:sz="4"/>
          <w:left w:val="single" w:color="000000" w:sz="4"/>
          <w:bottom w:val="single" w:color="000000" w:sz="4"/>
          <w:right w:val="single" w:color="000000" w:sz="4"/>
          <w:insideH w:val="single" w:color="000000" w:sz="4"/>
          <w:insideV w:val="single" w:color="000000" w:sz="4"/>
        </w:tblBorders>
      </w:tblPr>
      <w:tblGrid>
        <w:gridCol w:w="4460"/>
        <w:gridCol w:w="1600"/>
        <w:gridCol w:w="1600"/>
        <w:gridCol w:w="1700"/>
      </w:tblGrid>
      <w:tr>
        <w:trPr>
          <w:cantSplit/>
          <w:tblHeader/>
        </w:trPr>
        <w:tc>
          <w:tcPr>
            <w:tcW w:type="dxa" w:w="4460"/>
            <w:tcMar>
              <w:top w:type="dxa" w:w="70"/>
              <w:left w:type="dxa" w:w="100"/>
              <w:bottom w:type="dxa" w:w="70"/>
              <w:right w:type="dxa" w:w="100"/>
            </w:tcMar>
          </w:tcPr>
          <w:p>
            <w:r>
              <w:rPr>
                <w:rFonts w:ascii="Times New Roman" w:cs="Times New Roman" w:eastAsia="Times New Roman" w:hAnsi="Times New Roman"/>
                <w:b/>
                <w:bCs/>
                <w:sz w:val="20"/>
                <w:szCs w:val="20"/>
              </w:rPr>
              <w:t xml:space="preserve">Assumption</w:t>
            </w:r>
          </w:p>
        </w:tc>
        <w:tc>
          <w:tcPr>
            <w:tcW w:type="dxa" w:w="1600"/>
            <w:tcMar>
              <w:top w:type="dxa" w:w="70"/>
              <w:left w:type="dxa" w:w="100"/>
              <w:bottom w:type="dxa" w:w="70"/>
              <w:right w:type="dxa" w:w="100"/>
            </w:tcMar>
          </w:tcPr>
          <w:p>
            <w:r>
              <w:rPr>
                <w:rFonts w:ascii="Times New Roman" w:cs="Times New Roman" w:eastAsia="Times New Roman" w:hAnsi="Times New Roman"/>
                <w:b/>
                <w:bCs/>
                <w:sz w:val="20"/>
                <w:szCs w:val="20"/>
              </w:rPr>
              <w:t xml:space="preserve">Low</w:t>
            </w:r>
          </w:p>
        </w:tc>
        <w:tc>
          <w:tcPr>
            <w:tcW w:type="dxa" w:w="1600"/>
            <w:tcMar>
              <w:top w:type="dxa" w:w="70"/>
              <w:left w:type="dxa" w:w="100"/>
              <w:bottom w:type="dxa" w:w="70"/>
              <w:right w:type="dxa" w:w="100"/>
            </w:tcMar>
          </w:tcPr>
          <w:p>
            <w:r>
              <w:rPr>
                <w:rFonts w:ascii="Times New Roman" w:cs="Times New Roman" w:eastAsia="Times New Roman" w:hAnsi="Times New Roman"/>
                <w:b/>
                <w:bCs/>
                <w:sz w:val="20"/>
                <w:szCs w:val="20"/>
              </w:rPr>
              <w:t xml:space="preserve">Base</w:t>
            </w:r>
          </w:p>
        </w:tc>
        <w:tc>
          <w:tcPr>
            <w:tcW w:type="dxa" w:w="1700"/>
            <w:tcMar>
              <w:top w:type="dxa" w:w="70"/>
              <w:left w:type="dxa" w:w="100"/>
              <w:bottom w:type="dxa" w:w="70"/>
              <w:right w:type="dxa" w:w="100"/>
            </w:tcMar>
          </w:tcPr>
          <w:p>
            <w:r>
              <w:rPr>
                <w:rFonts w:ascii="Times New Roman" w:cs="Times New Roman" w:eastAsia="Times New Roman" w:hAnsi="Times New Roman"/>
                <w:b/>
                <w:bCs/>
                <w:sz w:val="20"/>
                <w:szCs w:val="20"/>
              </w:rPr>
              <w:t xml:space="preserve">High</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Occupancy</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65%</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70%</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Average daily rate (blended, net of discounts)</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$62</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$67</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$72</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Revenue per available room</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$37.20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$43.55</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$50.40</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Rooms revenue (122 keys, 365 nights)</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$1,656,000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$1,939,000</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$2,244,000</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Net operating income margin (after 4% reserve for furniture, fixtures, and equipment)</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30%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33%</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36%</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Net operating income</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$497,000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$640,000</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$808,000</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Capitalization rate</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10.50%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10.00%</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9.25%</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Indicated value</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$4,730,000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$6,400,000</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$8,730,000</w:t>
            </w:r>
          </w:p>
        </w:tc>
      </w:tr>
      <w:tr>
        <w:trPr>
          <w:cantSplit/>
          <w:tblHeader w:val="false"/>
        </w:trPr>
        <w:tc>
          <w:tcPr>
            <w:tcW w:type="dxa" w:w="446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Indicated value per key</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$38,800</w:t>
            </w:r>
          </w:p>
        </w:tc>
        <w:tc>
          <w:tcPr>
            <w:tcW w:type="dxa" w:w="16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$52,500</w:t>
            </w:r>
          </w:p>
        </w:tc>
        <w:tc>
          <w:tcPr>
            <w:tcW w:type="dxa" w:w="1700"/>
            <w:tcMar>
              <w:top w:type="dxa" w:w="70"/>
              <w:left w:type="dxa" w:w="100"/>
              <w:bottom w:type="dxa" w:w="70"/>
              <w:right w:type="dxa" w:w="100"/>
            </w:tcMar>
          </w:tcPr>
          <w:p>
            <w:r>
              <w:rPr>
                <w:rFonts w:ascii="Times New Roman" w:cs="Times New Roman" w:eastAsia="Times New Roman" w:hAnsi="Times New Roman"/>
                <w:b w:val="false"/>
                <w:bCs w:val="false"/>
                <w:sz w:val="20"/>
                <w:szCs w:val="20"/>
              </w:rPr>
              <w:t xml:space="preserve">$71,600</w:t>
            </w:r>
          </w:p>
        </w:tc>
      </w:tr>
    </w:tbl>
    <w:p>
      <w:pPr>
        <w:spacing w:after="160"/>
      </w:pPr>
    </w:p>
    <w:p>
      <w:pPr>
        <w:spacing w:after="160" w:line="276"/>
        <w:jc w:val="both"/>
      </w:pPr>
      <w:r>
        <w:rPr>
          <w:rFonts w:ascii="Times New Roman" w:cs="Times New Roman" w:eastAsia="Times New Roman" w:hAnsi="Times New Roman"/>
          <w:sz w:val="24"/>
          <w:szCs w:val="24"/>
        </w:rPr>
        <w:t xml:space="preserve">Rate assumptions are drawn from the rack rates currently published on the Motel 6 and Studio 6 property pages (approximately $65 to $77 per night before loyalty discounts) and the Studio 6 weekly and monthly programs. Capitalization rates reflect economy segment pricing. HVS reported softening Denver occupancy through the middle of 2025 with stabilization and rate recovery expected in 2026, which supports a moderate rather than aggressive capitalization rate.</w:t>
      </w:r>
    </w:p>
    <w:p>
      <w:pPr>
        <w:keepNext/>
        <w:spacing w:after="120" w:before="200"/>
        <w:jc w:val="left"/>
      </w:pPr>
      <w:r>
        <w:rPr>
          <w:rFonts w:ascii="Times New Roman" w:cs="Times New Roman" w:eastAsia="Times New Roman" w:hAnsi="Times New Roman"/>
          <w:b/>
          <w:bCs/>
          <w:sz w:val="24"/>
          <w:szCs w:val="24"/>
        </w:rPr>
        <w:t xml:space="preserve">D. Recommendation</w:t>
      </w:r>
    </w:p>
    <w:p>
      <w:pPr>
        <w:spacing w:after="160" w:line="276"/>
        <w:jc w:val="both"/>
      </w:pPr>
      <w:r>
        <w:rPr>
          <w:rFonts w:ascii="Times New Roman" w:cs="Times New Roman" w:eastAsia="Times New Roman" w:hAnsi="Times New Roman"/>
          <w:b/>
          <w:bCs/>
          <w:sz w:val="24"/>
          <w:szCs w:val="24"/>
        </w:rPr>
        <w:t xml:space="preserve">Asking price: $7,250,000</w:t>
      </w:r>
      <w:r>
        <w:rPr>
          <w:rFonts w:ascii="Times New Roman" w:cs="Times New Roman" w:eastAsia="Times New Roman" w:hAnsi="Times New Roman"/>
          <w:sz w:val="24"/>
          <w:szCs w:val="24"/>
        </w:rPr>
        <w:t xml:space="preserve"> (approximately $59,400 per key, $154 per building square foot, and $69 per land square foot). </w:t>
      </w:r>
      <w:r>
        <w:rPr>
          <w:rFonts w:ascii="Times New Roman" w:cs="Times New Roman" w:eastAsia="Times New Roman" w:hAnsi="Times New Roman"/>
          <w:b/>
          <w:bCs/>
          <w:sz w:val="24"/>
          <w:szCs w:val="24"/>
        </w:rPr>
        <w:t xml:space="preserve">Target transaction range: $6,250,000 to $7,000,000. </w:t>
      </w:r>
      <w:r>
        <w:rPr>
          <w:rFonts w:ascii="Times New Roman" w:cs="Times New Roman" w:eastAsia="Times New Roman" w:hAnsi="Times New Roman"/>
          <w:sz w:val="24"/>
          <w:szCs w:val="24"/>
        </w:rPr>
        <w:t xml:space="preserve">Ownership should set its reservation price after reviewing the trailing twelve month statement. On the assumptions above, any price below approximately $6,000,000 is below the 2019 basis and below the base case income value.</w:t>
      </w:r>
    </w:p>
    <w:p>
      <w:pPr>
        <w:spacing w:after="160" w:line="276"/>
        <w:jc w:val="both"/>
      </w:pPr>
      <w:r>
        <w:rPr>
          <w:rFonts w:ascii="Times New Roman" w:cs="Times New Roman" w:eastAsia="Times New Roman" w:hAnsi="Times New Roman"/>
          <w:sz w:val="24"/>
          <w:szCs w:val="24"/>
        </w:rPr>
        <w:t xml:space="preserve">The proposed asking price is approximately 11.5 percent above the 2019 purchase price, approximately 25 percent above the assessor's 2025 actual value, and approximately 13 percent above the base case income value. This leaves negotiating room while remaining credible against the $70,000 to $81,000 per key range of economy listings in the metropolitan area. If ownership prefers not to anchor buyers, a listing marked "Price Upon Request," as used on the Comfort Suites and SYLO listings, is a reasonable alternative that requires interested parties to register and make contact.</w:t>
      </w:r>
    </w:p>
    <w:p>
      <w:r>
        <w:br w:type="page"/>
      </w:r>
    </w:p>
    <w:p>
      <w:pPr>
        <w:keepNext/>
        <w:spacing w:after="160" w:before="320"/>
        <w:jc w:val="left"/>
      </w:pPr>
      <w:r>
        <w:rPr>
          <w:rFonts w:ascii="Times New Roman" w:cs="Times New Roman" w:eastAsia="Times New Roman" w:hAnsi="Times New Roman"/>
          <w:b/>
          <w:bCs/>
          <w:sz w:val="24"/>
          <w:szCs w:val="24"/>
          <w:u w:val="single"/>
        </w:rPr>
        <w:t xml:space="preserve">ARTICLE VI. PHOTOGRAPH PACKAGE</w:t>
      </w:r>
    </w:p>
    <w:p>
      <w:pPr>
        <w:spacing w:after="160" w:line="276"/>
        <w:jc w:val="both"/>
      </w:pPr>
      <w:r>
        <w:rPr>
          <w:rFonts w:ascii="Times New Roman" w:cs="Times New Roman" w:eastAsia="Times New Roman" w:hAnsi="Times New Roman"/>
          <w:sz w:val="24"/>
          <w:szCs w:val="24"/>
        </w:rPr>
        <w:t xml:space="preserve">Both brand galleries were downloaded at full resolution (3456 by 1944 pixels and 3072 by 2304 pixels). The Motel 6 page yielded 24 images and the Studio 6 page yielded 43 images, for a total of 67. Seven images were identical duplicates appearing within or across the two galleries and were removed, leaving 60 unique photographs. From those, 38 were selected and renamed into a recommended LoopNet upload order that presents the property as a whole first (courtyard and pool, lobby), then the Motel 6 rooms, then the Studio 6 kitchens and suites, and finally bathrooms and accessible rooms.</w:t>
      </w:r>
    </w:p>
    <w:p>
      <w:pPr>
        <w:keepNext/>
        <w:spacing w:after="120" w:before="200"/>
        <w:jc w:val="left"/>
      </w:pPr>
      <w:r>
        <w:rPr>
          <w:rFonts w:ascii="Times New Roman" w:cs="Times New Roman" w:eastAsia="Times New Roman" w:hAnsi="Times New Roman"/>
          <w:b/>
          <w:bCs/>
          <w:sz w:val="24"/>
          <w:szCs w:val="24"/>
        </w:rPr>
        <w:t xml:space="preserve">A. Folder Contents</w:t>
      </w:r>
    </w:p>
    <w:p>
      <w:pPr>
        <w:pStyle w:val="ListParagraph"/>
        <w:numPr>
          <w:ilvl w:val="0"/>
          <w:numId w:val="5"/>
        </w:numPr>
        <w:spacing w:after="100" w:line="276"/>
        <w:jc w:val="both"/>
      </w:pPr>
      <w:r>
        <w:rPr>
          <w:rFonts w:ascii="Times New Roman" w:cs="Times New Roman" w:eastAsia="Times New Roman" w:hAnsi="Times New Roman"/>
          <w:sz w:val="24"/>
          <w:szCs w:val="24"/>
        </w:rPr>
        <w:t xml:space="preserve">01_LoopNet_Curated. Thirty eight photographs numbered in the recommended upload order, with descriptive captions in the file names and a caption spreadsheet.</w:t>
      </w:r>
    </w:p>
    <w:p>
      <w:pPr>
        <w:pStyle w:val="ListParagraph"/>
        <w:numPr>
          <w:ilvl w:val="0"/>
          <w:numId w:val="5"/>
        </w:numPr>
        <w:spacing w:after="100" w:line="276"/>
        <w:jc w:val="both"/>
      </w:pPr>
      <w:r>
        <w:rPr>
          <w:rFonts w:ascii="Times New Roman" w:cs="Times New Roman" w:eastAsia="Times New Roman" w:hAnsi="Times New Roman"/>
          <w:sz w:val="24"/>
          <w:szCs w:val="24"/>
        </w:rPr>
        <w:t xml:space="preserve">02_All_Photos_Motel6. Twenty unique original photographs from the Motel 6 gallery.</w:t>
      </w:r>
    </w:p>
    <w:p>
      <w:pPr>
        <w:pStyle w:val="ListParagraph"/>
        <w:numPr>
          <w:ilvl w:val="0"/>
          <w:numId w:val="5"/>
        </w:numPr>
        <w:spacing w:after="100" w:line="276"/>
        <w:jc w:val="both"/>
      </w:pPr>
      <w:r>
        <w:rPr>
          <w:rFonts w:ascii="Times New Roman" w:cs="Times New Roman" w:eastAsia="Times New Roman" w:hAnsi="Times New Roman"/>
          <w:sz w:val="24"/>
          <w:szCs w:val="24"/>
        </w:rPr>
        <w:t xml:space="preserve">02_All_Photos_Studio6. Forty unique original photographs from the Studio 6 gallery.</w:t>
      </w:r>
    </w:p>
    <w:p>
      <w:pPr>
        <w:keepNext/>
        <w:spacing w:after="120" w:before="200"/>
        <w:jc w:val="left"/>
      </w:pPr>
      <w:r>
        <w:rPr>
          <w:rFonts w:ascii="Times New Roman" w:cs="Times New Roman" w:eastAsia="Times New Roman" w:hAnsi="Times New Roman"/>
          <w:b/>
          <w:bCs/>
          <w:sz w:val="24"/>
          <w:szCs w:val="24"/>
        </w:rPr>
        <w:t xml:space="preserve">B. Photographs Still Required</w:t>
      </w:r>
    </w:p>
    <w:p>
      <w:pPr>
        <w:spacing w:after="160" w:line="276"/>
        <w:jc w:val="both"/>
      </w:pPr>
      <w:r>
        <w:rPr>
          <w:rFonts w:ascii="Times New Roman" w:cs="Times New Roman" w:eastAsia="Times New Roman" w:hAnsi="Times New Roman"/>
          <w:sz w:val="24"/>
          <w:szCs w:val="24"/>
        </w:rPr>
        <w:t xml:space="preserve">Neither brand gallery contains a street facing exterior, signage, or aerial photograph. The only outdoor image is the courtyard pool view. LoopNet listings depend heavily on the lead image, and buyers will read the absence of an exterior photograph as a signal. Before publication, ownership should obtain the following.</w:t>
      </w:r>
    </w:p>
    <w:p>
      <w:pPr>
        <w:pStyle w:val="ListParagraph"/>
        <w:numPr>
          <w:ilvl w:val="0"/>
          <w:numId w:val="6"/>
        </w:numPr>
        <w:spacing w:after="100" w:line="276"/>
        <w:jc w:val="both"/>
      </w:pPr>
      <w:r>
        <w:rPr>
          <w:rFonts w:ascii="Times New Roman" w:cs="Times New Roman" w:eastAsia="Times New Roman" w:hAnsi="Times New Roman"/>
          <w:sz w:val="24"/>
          <w:szCs w:val="24"/>
        </w:rPr>
        <w:t xml:space="preserve">A daytime exterior from South Abilene Street showing both brand signs and the building elevation, to serve as the lead image.</w:t>
      </w:r>
    </w:p>
    <w:p>
      <w:pPr>
        <w:pStyle w:val="ListParagraph"/>
        <w:numPr>
          <w:ilvl w:val="0"/>
          <w:numId w:val="6"/>
        </w:numPr>
        <w:spacing w:after="100" w:line="276"/>
        <w:jc w:val="both"/>
      </w:pPr>
      <w:r>
        <w:rPr>
          <w:rFonts w:ascii="Times New Roman" w:cs="Times New Roman" w:eastAsia="Times New Roman" w:hAnsi="Times New Roman"/>
          <w:sz w:val="24"/>
          <w:szCs w:val="24"/>
        </w:rPr>
        <w:t xml:space="preserve">An aerial photograph showing the 2.39 acre parcel, Interstate 225, and the Mississippi Avenue interchange, to serve as the second image.</w:t>
      </w:r>
    </w:p>
    <w:p>
      <w:pPr>
        <w:pStyle w:val="ListParagraph"/>
        <w:numPr>
          <w:ilvl w:val="0"/>
          <w:numId w:val="6"/>
        </w:numPr>
        <w:spacing w:after="100" w:line="276"/>
        <w:jc w:val="both"/>
      </w:pPr>
      <w:r>
        <w:rPr>
          <w:rFonts w:ascii="Times New Roman" w:cs="Times New Roman" w:eastAsia="Times New Roman" w:hAnsi="Times New Roman"/>
          <w:sz w:val="24"/>
          <w:szCs w:val="24"/>
        </w:rPr>
        <w:t xml:space="preserve">A dusk or night exterior with illuminated signage.</w:t>
      </w:r>
    </w:p>
    <w:p>
      <w:pPr>
        <w:pStyle w:val="ListParagraph"/>
        <w:numPr>
          <w:ilvl w:val="0"/>
          <w:numId w:val="6"/>
        </w:numPr>
        <w:spacing w:after="100" w:line="276"/>
        <w:jc w:val="both"/>
      </w:pPr>
      <w:r>
        <w:rPr>
          <w:rFonts w:ascii="Times New Roman" w:cs="Times New Roman" w:eastAsia="Times New Roman" w:hAnsi="Times New Roman"/>
          <w:sz w:val="24"/>
          <w:szCs w:val="24"/>
        </w:rPr>
        <w:t xml:space="preserve">The parking lot, guest laundry, vending and common areas, and any lobby coffee station.</w:t>
      </w:r>
    </w:p>
    <w:p>
      <w:pPr>
        <w:pStyle w:val="ListParagraph"/>
        <w:numPr>
          <w:ilvl w:val="0"/>
          <w:numId w:val="6"/>
        </w:numPr>
        <w:spacing w:after="100" w:line="276"/>
        <w:jc w:val="both"/>
      </w:pPr>
      <w:r>
        <w:rPr>
          <w:rFonts w:ascii="Times New Roman" w:cs="Times New Roman" w:eastAsia="Times New Roman" w:hAnsi="Times New Roman"/>
          <w:sz w:val="24"/>
          <w:szCs w:val="24"/>
        </w:rPr>
        <w:t xml:space="preserve">One photograph of a Studio 6 suite that shows the kitchen, living area, and bedroom in a single frame.</w:t>
      </w:r>
    </w:p>
    <w:p>
      <w:pPr>
        <w:spacing w:after="160" w:line="276"/>
        <w:jc w:val="both"/>
      </w:pPr>
      <w:r>
        <w:rPr>
          <w:rFonts w:ascii="Times New Roman" w:cs="Times New Roman" w:eastAsia="Times New Roman" w:hAnsi="Times New Roman"/>
          <w:sz w:val="24"/>
          <w:szCs w:val="24"/>
        </w:rPr>
        <w:t xml:space="preserve">The CHS marketing group maintains the flyer source materials and may already hold exterior and aerial images from the reflag. A daylight photograph taken with a mobile phone by the general manager will serve as a placeholder. Aerial imagery from the Arapahoe County GIS may be used for a site plan exhibit but should not serve as the lead image.</w:t>
      </w:r>
    </w:p>
    <w:p>
      <w:pPr>
        <w:keepNext/>
        <w:spacing w:after="160" w:before="320"/>
        <w:jc w:val="left"/>
      </w:pPr>
      <w:r>
        <w:rPr>
          <w:rFonts w:ascii="Times New Roman" w:cs="Times New Roman" w:eastAsia="Times New Roman" w:hAnsi="Times New Roman"/>
          <w:b/>
          <w:bCs/>
          <w:sz w:val="24"/>
          <w:szCs w:val="24"/>
          <w:u w:val="single"/>
        </w:rPr>
        <w:t xml:space="preserve">ARTICLE VII. PRE PUBLICATION CHECKLIST</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Confirm the room count (122 per legacy records) and the current division between Motel 6 and Studio 6 keys, together with the counts of kitchenette, full kitchen, and accessible rooms.</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Obtain the trailing twelve month operating statement, the STR report, and occupancy and rate history for 2024 through 2026 to support the offering and to validate the asking price.</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Review the G6 Hospitality franchise agreement for transfer and assignment fees, remaining term, property improvement plan obligations triggered by a sale, and any liquidated damages exposure if a buyer removes the flags.</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Confirm zoning and any use restrictions with the City of Aurora Planning Department and determine whether the excess land is separately developable.</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Reconcile the year built (1981 per assessor; 1983 per brand records) and document the scope and dates of the reflag and renovation work.</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Assemble the title commitment, survey if available, environmental reports, and the 2019 closing file for the data room.</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Evaluate any pending claims or litigation affecting the property for disclosure and for the buyer's due diligence materials.</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Determine the broker cooperation policy and any buyer broker commission, and state the policy in the listing.</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Prepare a confidentiality agreement for financial requests and route all inquiries to a single CHS contact.</w:t>
      </w:r>
    </w:p>
    <w:p>
      <w:pPr>
        <w:pStyle w:val="ListParagraph"/>
        <w:numPr>
          <w:ilvl w:val="0"/>
          <w:numId w:val="7"/>
        </w:numPr>
        <w:spacing w:after="100" w:line="276"/>
        <w:jc w:val="both"/>
      </w:pPr>
      <w:r>
        <w:rPr>
          <w:rFonts w:ascii="Times New Roman" w:cs="Times New Roman" w:eastAsia="Times New Roman" w:hAnsi="Times New Roman"/>
          <w:sz w:val="24"/>
          <w:szCs w:val="24"/>
        </w:rPr>
        <w:t xml:space="preserve">Coordinate the LoopNet build with the CoStar and LoopNet account representative using the curated photograph folder and the text in Articles II through IV.</w:t>
      </w:r>
    </w:p>
    <w:p>
      <w:pPr>
        <w:keepNext/>
        <w:spacing w:after="120" w:before="200"/>
        <w:jc w:val="left"/>
      </w:pPr>
      <w:r>
        <w:rPr>
          <w:rFonts w:ascii="Times New Roman" w:cs="Times New Roman" w:eastAsia="Times New Roman" w:hAnsi="Times New Roman"/>
          <w:b/>
          <w:bCs/>
          <w:sz w:val="24"/>
          <w:szCs w:val="24"/>
        </w:rPr>
        <w:t xml:space="preserve">Licensing Note</w:t>
      </w:r>
    </w:p>
    <w:p>
      <w:pPr>
        <w:spacing w:after="160" w:line="276"/>
        <w:jc w:val="both"/>
      </w:pPr>
      <w:r>
        <w:rPr>
          <w:rFonts w:ascii="Times New Roman" w:cs="Times New Roman" w:eastAsia="Times New Roman" w:hAnsi="Times New Roman"/>
          <w:sz w:val="24"/>
          <w:szCs w:val="24"/>
        </w:rPr>
        <w:t xml:space="preserve">An owner marketing its own property does not require a real estate broker's license in Colorado. Section 12-10-201(6)(b), C.R.S., excludes from the definition of "real estate broker" a person or entity "acting personally or a corporation acting through its officers or regularly salaried employees, on behalf of that person or on its own behalf as principal" (subsection (IV)), and separately excludes an attorney at law acting in connection with the representation of clients in the practice of law (subsection (V)). Chapter 3 of the 2025 Colorado Real Estate Manual confirms that such "Selling Principals" are exempt from licensure. If a cooperating buyer's broker is offered a commission, that broker must hold a Colorado license and the commission terms should be reduced to writing.</w:t>
      </w:r>
    </w:p>
    <w:p>
      <w:pPr>
        <w:keepNext/>
        <w:spacing w:after="160" w:before="320"/>
        <w:jc w:val="left"/>
      </w:pPr>
      <w:r>
        <w:rPr>
          <w:rFonts w:ascii="Times New Roman" w:cs="Times New Roman" w:eastAsia="Times New Roman" w:hAnsi="Times New Roman"/>
          <w:b/>
          <w:bCs/>
          <w:sz w:val="24"/>
          <w:szCs w:val="24"/>
          <w:u w:val="single"/>
        </w:rPr>
        <w:t xml:space="preserve">ARTICLE VIII. SOURCES</w:t>
      </w:r>
    </w:p>
    <w:p>
      <w:pPr>
        <w:pStyle w:val="ListParagraph"/>
        <w:numPr>
          <w:ilvl w:val="0"/>
          <w:numId w:val="8"/>
        </w:numPr>
        <w:spacing w:after="100" w:line="276"/>
        <w:jc w:val="both"/>
      </w:pPr>
      <w:r>
        <w:rPr>
          <w:rFonts w:ascii="Times New Roman" w:cs="Times New Roman" w:eastAsia="Times New Roman" w:hAnsi="Times New Roman"/>
          <w:sz w:val="24"/>
          <w:szCs w:val="24"/>
        </w:rPr>
        <w:t xml:space="preserve">Arapahoe County Assessor and GIS parcel and CAMA records for Parcel 1975-18-3-06-003, accessed September 1, 2026.</w:t>
      </w:r>
    </w:p>
    <w:p>
      <w:pPr>
        <w:pStyle w:val="ListParagraph"/>
        <w:numPr>
          <w:ilvl w:val="0"/>
          <w:numId w:val="8"/>
        </w:numPr>
        <w:spacing w:after="100" w:line="276"/>
        <w:jc w:val="both"/>
      </w:pPr>
      <w:r>
        <w:rPr>
          <w:rFonts w:ascii="Times New Roman" w:cs="Times New Roman" w:eastAsia="Times New Roman" w:hAnsi="Times New Roman"/>
          <w:sz w:val="24"/>
          <w:szCs w:val="24"/>
        </w:rPr>
        <w:t xml:space="preserve">Motel 6 property page (property 365354) and Studio 6 property page (property 365528) at motel6.com, for rates, amenities, and photograph galleries.</w:t>
      </w:r>
    </w:p>
    <w:p>
      <w:pPr>
        <w:pStyle w:val="ListParagraph"/>
        <w:numPr>
          <w:ilvl w:val="0"/>
          <w:numId w:val="8"/>
        </w:numPr>
        <w:spacing w:after="100" w:line="276"/>
        <w:jc w:val="both"/>
      </w:pPr>
      <w:r>
        <w:rPr>
          <w:rFonts w:ascii="Times New Roman" w:cs="Times New Roman" w:eastAsia="Times New Roman" w:hAnsi="Times New Roman"/>
          <w:sz w:val="24"/>
          <w:szCs w:val="24"/>
        </w:rPr>
        <w:t xml:space="preserve">Legacy Quality Inn (CO442) global distribution system records published by Travel Weekly and Successful Meetings (122 rooms, two floors, built 1983, renovated 2001).</w:t>
      </w:r>
    </w:p>
    <w:p>
      <w:pPr>
        <w:pStyle w:val="ListParagraph"/>
        <w:numPr>
          <w:ilvl w:val="0"/>
          <w:numId w:val="8"/>
        </w:numPr>
        <w:spacing w:after="100" w:line="276"/>
        <w:jc w:val="both"/>
      </w:pPr>
      <w:r>
        <w:rPr>
          <w:rFonts w:ascii="Times New Roman" w:cs="Times New Roman" w:eastAsia="Times New Roman" w:hAnsi="Times New Roman"/>
          <w:sz w:val="24"/>
          <w:szCs w:val="24"/>
        </w:rPr>
        <w:t xml:space="preserve">LoopNet search results for hotels for sale in Denver, Colorado, September 1, 2026.</w:t>
      </w:r>
    </w:p>
    <w:p>
      <w:pPr>
        <w:pStyle w:val="ListParagraph"/>
        <w:numPr>
          <w:ilvl w:val="0"/>
          <w:numId w:val="8"/>
        </w:numPr>
        <w:spacing w:after="100" w:line="276"/>
        <w:jc w:val="both"/>
      </w:pPr>
      <w:r>
        <w:rPr>
          <w:rFonts w:ascii="Times New Roman" w:cs="Times New Roman" w:eastAsia="Times New Roman" w:hAnsi="Times New Roman"/>
          <w:sz w:val="24"/>
          <w:szCs w:val="24"/>
        </w:rPr>
        <w:t xml:space="preserve">HVS, "Denver Hotel Market Outlook: Signs of Stabilization and Rate Recovery by 2026" (November 2025), and the HVS Hotel Valuation Index for Denver.</w:t>
      </w:r>
    </w:p>
    <w:p>
      <w:pPr>
        <w:pStyle w:val="ListParagraph"/>
        <w:numPr>
          <w:ilvl w:val="0"/>
          <w:numId w:val="8"/>
        </w:numPr>
        <w:spacing w:after="100" w:line="276"/>
        <w:jc w:val="both"/>
      </w:pPr>
      <w:r>
        <w:rPr>
          <w:rFonts w:ascii="Times New Roman" w:cs="Times New Roman" w:eastAsia="Times New Roman" w:hAnsi="Times New Roman"/>
          <w:sz w:val="24"/>
          <w:szCs w:val="24"/>
        </w:rPr>
        <w:t xml:space="preserve">Wikipedia entries for The Medical Center of Aurora (346 beds; HCA HealthONE) and Motel 6 (OYO acquisition completed December 17, 2024).</w:t>
      </w:r>
    </w:p>
    <w:p>
      <w:pPr>
        <w:pStyle w:val="ListParagraph"/>
        <w:numPr>
          <w:ilvl w:val="0"/>
          <w:numId w:val="8"/>
        </w:numPr>
        <w:spacing w:after="100" w:line="276"/>
        <w:jc w:val="both"/>
      </w:pPr>
      <w:r>
        <w:rPr>
          <w:rFonts w:ascii="Times New Roman" w:cs="Times New Roman" w:eastAsia="Times New Roman" w:hAnsi="Times New Roman"/>
          <w:sz w:val="24"/>
          <w:szCs w:val="24"/>
        </w:rPr>
        <w:t xml:space="preserve">Section 12-10-201(6)(b), C.R.S. (2025); Colorado Real Estate Manual (2025), Chapter 3, Commission Position Statements.</w:t>
      </w: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pPr>
    <w:r>
      <w:rPr>
        <w:rFonts w:ascii="Times New Roman" w:cs="Times New Roman" w:eastAsia="Times New Roman" w:hAnsi="Times New Roman"/>
        <w:sz w:val="18"/>
        <w:szCs w:val="18"/>
      </w:rPr>
      <w:t xml:space="preserve">Confidential. Prepared for ownership review.</w:t>
    </w:r>
    <w:r>
      <w:rPr>
        <w:rFonts w:ascii="Times New Roman" w:cs="Times New Roman" w:eastAsia="Times New Roman" w:hAnsi="Times New Roman"/>
        <w:sz w:val="18"/>
        <w:szCs w:val="18"/>
      </w:rPr>
      <w:t xml:space="preserve">	Page </w:t>
    </w:r>
    <w:r>
      <w:rPr>
        <w:rFonts w:ascii="Times New Roman" w:cs="Times New Roman" w:eastAsia="Times New Roman" w:hAnsi="Times New Roman"/>
        <w:sz w:val="18"/>
        <w:szCs w:val="18"/>
      </w:rPr>
      <w:fldChar w:fldCharType="begin"/>
      <w:instrText xml:space="preserve">PAGE</w:instrText>
      <w:fldChar w:fldCharType="separate"/>
      <w:fldChar w:fldCharType="end"/>
    </w:r>
    <w:r>
      <w:rPr>
        <w:rFonts w:ascii="Times New Roman" w:cs="Times New Roman" w:eastAsia="Times New Roman" w:hAnsi="Times New Roman"/>
        <w:sz w:val="18"/>
        <w:szCs w:val="18"/>
      </w:rPr>
      <w:t xml:space="preserve"> of </w:t>
    </w:r>
    <w:r>
      <w:rPr>
        <w:rFonts w:ascii="Times New Roman" w:cs="Times New Roman" w:eastAsia="Times New Roman" w:hAnsi="Times New Roman"/>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sz w:val="18"/>
        <w:szCs w:val="18"/>
      </w:rPr>
      <w:t xml:space="preserve">Listing Memorandum: 1011 South Abilene Street, Aurora, Colorado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lowerLetter"/>
      <w:lvlText w:val="(%1)"/>
      <w:lvlJc w:val="left"/>
      <w:pPr>
        <w:ind w:left="720" w:hanging="540"/>
      </w:pPr>
    </w:lvl>
  </w:abstractNum>
  <w:abstractNum w:abstractNumId="3" w15:restartNumberingAfterBreak="0">
    <w:multiLevelType w:val="hybridMultilevel"/>
    <w:lvl w:ilvl="0" w15:tentative="1">
      <w:start w:val="1"/>
      <w:numFmt w:val="lowerLetter"/>
      <w:lvlText w:val="(%1)"/>
      <w:lvlJc w:val="left"/>
      <w:pPr>
        <w:ind w:left="720" w:hanging="540"/>
      </w:pPr>
    </w:lvl>
  </w:abstractNum>
  <w:abstractNum w:abstractNumId="4" w15:restartNumberingAfterBreak="0">
    <w:multiLevelType w:val="hybridMultilevel"/>
    <w:lvl w:ilvl="0" w15:tentative="1">
      <w:start w:val="1"/>
      <w:numFmt w:val="lowerLetter"/>
      <w:lvlText w:val="(%1)"/>
      <w:lvlJc w:val="left"/>
      <w:pPr>
        <w:ind w:left="720" w:hanging="540"/>
      </w:pPr>
    </w:lvl>
  </w:abstractNum>
  <w:abstractNum w:abstractNumId="5" w15:restartNumberingAfterBreak="0">
    <w:multiLevelType w:val="hybridMultilevel"/>
    <w:lvl w:ilvl="0" w15:tentative="1">
      <w:start w:val="1"/>
      <w:numFmt w:val="lowerLetter"/>
      <w:lvlText w:val="(%1)"/>
      <w:lvlJc w:val="left"/>
      <w:pPr>
        <w:ind w:left="720" w:hanging="540"/>
      </w:pPr>
    </w:lvl>
  </w:abstractNum>
  <w:abstractNum w:abstractNumId="6" w15:restartNumberingAfterBreak="0">
    <w:multiLevelType w:val="hybridMultilevel"/>
    <w:lvl w:ilvl="0" w15:tentative="1">
      <w:start w:val="1"/>
      <w:numFmt w:val="lowerLetter"/>
      <w:lvlText w:val="(%1)"/>
      <w:lvlJc w:val="left"/>
      <w:pPr>
        <w:ind w:left="720" w:hanging="540"/>
      </w:pPr>
    </w:lvl>
  </w:abstractNum>
  <w:abstractNum w:abstractNumId="7" w15:restartNumberingAfterBreak="0">
    <w:multiLevelType w:val="hybridMultilevel"/>
    <w:lvl w:ilvl="0" w15:tentative="1">
      <w:start w:val="1"/>
      <w:numFmt w:val="lowerLetter"/>
      <w:lvlText w:val="(%1)"/>
      <w:lvlJc w:val="left"/>
      <w:pPr>
        <w:ind w:left="720" w:hanging="540"/>
      </w:pPr>
    </w:lvl>
  </w:abstractNum>
  <w:abstractNum w:abstractNumId="8" w15:restartNumberingAfterBreak="0">
    <w:multiLevelType w:val="hybridMultilevel"/>
    <w:lvl w:ilvl="0" w15:tentative="1">
      <w:start w:val="1"/>
      <w:numFmt w:val="lowerLetter"/>
      <w:lvlText w:val="(%1)"/>
      <w:lvlJc w:val="left"/>
      <w:pPr>
        <w:ind w:left="720" w:hanging="540"/>
      </w:pPr>
    </w:lvl>
  </w:abstractNum>
  <w:abstractNum w:abstractNumId="9" w15:restartNumberingAfterBreak="0">
    <w:multiLevelType w:val="hybridMultilevel"/>
    <w:lvl w:ilvl="0" w15:tentative="1">
      <w:start w:val="1"/>
      <w:numFmt w:val="lowerLetter"/>
      <w:lvlText w:val="(%1)"/>
      <w:lvlJc w:val="left"/>
      <w:pPr>
        <w:ind w:left="720" w:hanging="540"/>
      </w:pPr>
    </w:lvl>
  </w:abstractNum>
  <w:abstractNum w:abstractNumId="10" w15:restartNumberingAfterBreak="0">
    <w:multiLevelType w:val="hybridMultilevel"/>
    <w:lvl w:ilvl="0" w15:tentative="1">
      <w:start w:val="1"/>
      <w:numFmt w:val="lowerLetter"/>
      <w:lvlText w:val="(%1)"/>
      <w:lvlJc w:val="left"/>
      <w:pPr>
        <w:ind w:left="720" w:hanging="540"/>
      </w:pPr>
    </w:lvl>
  </w:abstractNum>
  <w:abstractNum w:abstractNumId="11" w15:restartNumberingAfterBreak="0">
    <w:multiLevelType w:val="hybridMultilevel"/>
    <w:lvl w:ilvl="0" w15:tentative="1">
      <w:start w:val="1"/>
      <w:numFmt w:val="decimal"/>
      <w:lvlText w:val="%1."/>
      <w:lvlJc w:val="left"/>
      <w:pPr>
        <w:ind w:left="720" w:hanging="54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 w:numId="7">
    <w:abstractNumId w:val="11"/>
    <w:lvlOverride w:ilvl="0">
      <w:startOverride w:val="1"/>
    </w:lvlOverride>
  </w:num>
  <w:num w:numId="8">
    <w:abstractNumId w:val="7"/>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2026-09-01T18:32:19.941Z</dcterms:created>
  <dcterms:modified xsi:type="dcterms:W3CDTF">2026-09-01T18:32:19.953Z</dcterms:modified>
</cp:coreProperties>
</file>

<file path=docProps/custom.xml><?xml version="1.0" encoding="utf-8"?>
<Properties xmlns="http://schemas.openxmlformats.org/officeDocument/2006/custom-properties" xmlns:vt="http://schemas.openxmlformats.org/officeDocument/2006/docPropsVTypes"/>
</file>