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80"/>
        <w:jc w:val="center"/>
      </w:pPr>
      <w:r>
        <w:drawing>
          <wp:inline xmlns:a="http://schemas.openxmlformats.org/drawingml/2006/main" xmlns:pic="http://schemas.openxmlformats.org/drawingml/2006/picture">
            <wp:extent cx="7077456" cy="4005072"/>
            <wp:docPr id="1" name="Picture 1"/>
            <wp:cNvGraphicFramePr>
              <a:graphicFrameLocks noChangeAspect="1"/>
            </wp:cNvGraphicFramePr>
            <a:graphic>
              <a:graphicData uri="http://schemas.openxmlformats.org/drawingml/2006/picture">
                <pic:pic>
                  <pic:nvPicPr>
                    <pic:cNvPr id="0" name="_crop_Coal Bank Pic#9_774_438.jpg"/>
                    <pic:cNvPicPr/>
                  </pic:nvPicPr>
                  <pic:blipFill>
                    <a:blip r:embed="rId10"/>
                    <a:stretch>
                      <a:fillRect/>
                    </a:stretch>
                  </pic:blipFill>
                  <pic:spPr>
                    <a:xfrm>
                      <a:off x="0" y="0"/>
                      <a:ext cx="7077456" cy="4005072"/>
                    </a:xfrm>
                    <a:prstGeom prst="rect"/>
                  </pic:spPr>
                </pic:pic>
              </a:graphicData>
            </a:graphic>
          </wp:inline>
        </w:drawing>
      </w:r>
    </w:p>
    <w:p>
      <w:pPr>
        <w:spacing w:after="60"/>
        <w:jc w:val="center"/>
      </w:pPr>
      <w:r>
        <w:rPr>
          <w:rFonts w:ascii="Georgia" w:hAnsi="Georgia"/>
          <w:b/>
          <w:color w:val="173E68"/>
          <w:sz w:val="56"/>
        </w:rPr>
        <w:t>OFFERING MEMORANDUM</w:t>
      </w:r>
    </w:p>
    <w:p>
      <w:pPr>
        <w:spacing w:after="20"/>
        <w:jc w:val="center"/>
      </w:pPr>
      <w:r>
        <w:rPr>
          <w:rFonts w:ascii="Georgia" w:hAnsi="Georgia"/>
          <w:b/>
          <w:color w:val="22252A"/>
          <w:sz w:val="34"/>
        </w:rPr>
        <w:t>93531 COAL BANK LANE</w:t>
      </w:r>
    </w:p>
    <w:p>
      <w:pPr>
        <w:spacing w:after="140"/>
        <w:jc w:val="center"/>
      </w:pPr>
      <w:r>
        <w:rPr>
          <w:rFonts w:ascii="Georgia" w:hAnsi="Georgia"/>
          <w:color w:val="66717F"/>
          <w:sz w:val="23"/>
        </w:rPr>
        <w:t>COOS BAY, OREGON 97420</w:t>
      </w:r>
    </w:p>
    <w:p>
      <w:pPr>
        <w:spacing w:after="160"/>
        <w:jc w:val="center"/>
      </w:pPr>
      <w:r>
        <w:rPr>
          <w:rFonts w:ascii="Georgia" w:hAnsi="Georgia"/>
          <w:b/>
          <w:color w:val="173E68"/>
          <w:sz w:val="32"/>
        </w:rPr>
        <w:t>ASKING PRICE   |   $1,100,000</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2786"/>
        <w:gridCol w:w="2786"/>
        <w:gridCol w:w="2786"/>
        <w:gridCol w:w="2786"/>
      </w:tblGrid>
      <w:tr>
        <w:tc>
          <w:tcPr>
            <w:tcW w:type="dxa" w:w="2772"/>
            <w:shd w:fill="173E68"/>
            <w:tcMar>
              <w:top w:w="140" w:type="dxa"/>
              <w:start w:w="60" w:type="dxa"/>
              <w:bottom w:w="120" w:type="dxa"/>
              <w:end w:w="60" w:type="dxa"/>
            </w:tcMar>
            <w:vAlign w:val="center"/>
          </w:tcPr>
          <w:p>
            <w:pPr>
              <w:jc w:val="center"/>
            </w:pPr>
            <w:r>
              <w:rPr>
                <w:rFonts w:ascii="Georgia" w:hAnsi="Georgia"/>
                <w:b/>
                <w:color w:val="FFFFFF"/>
                <w:sz w:val="38"/>
              </w:rPr>
              <w:t>12</w:t>
            </w:r>
            <w:r>
              <w:br/>
            </w:r>
            <w:r>
              <w:rPr>
                <w:rFonts w:ascii="Aptos" w:hAnsi="Aptos"/>
                <w:b/>
                <w:color w:val="D9E4F2"/>
                <w:sz w:val="15"/>
              </w:rPr>
              <w:t>MOBILE HOME SPACES</w:t>
            </w:r>
          </w:p>
        </w:tc>
        <w:tc>
          <w:tcPr>
            <w:tcW w:type="dxa" w:w="2772"/>
            <w:shd w:fill="173E68"/>
            <w:tcMar>
              <w:top w:w="140" w:type="dxa"/>
              <w:start w:w="60" w:type="dxa"/>
              <w:bottom w:w="120" w:type="dxa"/>
              <w:end w:w="60" w:type="dxa"/>
            </w:tcMar>
            <w:vAlign w:val="center"/>
          </w:tcPr>
          <w:p>
            <w:pPr>
              <w:jc w:val="center"/>
            </w:pPr>
            <w:r>
              <w:rPr>
                <w:rFonts w:ascii="Georgia" w:hAnsi="Georgia"/>
                <w:b/>
                <w:color w:val="FFFFFF"/>
                <w:sz w:val="38"/>
              </w:rPr>
              <w:t>10</w:t>
            </w:r>
            <w:r>
              <w:br/>
            </w:r>
            <w:r>
              <w:rPr>
                <w:rFonts w:ascii="Aptos" w:hAnsi="Aptos"/>
                <w:b/>
                <w:color w:val="D9E4F2"/>
                <w:sz w:val="15"/>
              </w:rPr>
              <w:t>PARK-OWNED HOMES</w:t>
            </w:r>
          </w:p>
        </w:tc>
        <w:tc>
          <w:tcPr>
            <w:tcW w:type="dxa" w:w="2772"/>
            <w:shd w:fill="173E68"/>
            <w:tcMar>
              <w:top w:w="140" w:type="dxa"/>
              <w:start w:w="60" w:type="dxa"/>
              <w:bottom w:w="120" w:type="dxa"/>
              <w:end w:w="60" w:type="dxa"/>
            </w:tcMar>
            <w:vAlign w:val="center"/>
          </w:tcPr>
          <w:p>
            <w:pPr>
              <w:jc w:val="center"/>
            </w:pPr>
            <w:r>
              <w:rPr>
                <w:rFonts w:ascii="Georgia" w:hAnsi="Georgia"/>
                <w:b/>
                <w:color w:val="FFFFFF"/>
                <w:sz w:val="38"/>
              </w:rPr>
              <w:t>2</w:t>
            </w:r>
            <w:r>
              <w:br/>
            </w:r>
            <w:r>
              <w:rPr>
                <w:rFonts w:ascii="Aptos" w:hAnsi="Aptos"/>
                <w:b/>
                <w:color w:val="D9E4F2"/>
                <w:sz w:val="15"/>
              </w:rPr>
              <w:t>TENANT-OWNED SPACES</w:t>
            </w:r>
          </w:p>
        </w:tc>
        <w:tc>
          <w:tcPr>
            <w:tcW w:type="dxa" w:w="2772"/>
            <w:shd w:fill="173E68"/>
            <w:tcMar>
              <w:top w:w="140" w:type="dxa"/>
              <w:start w:w="60" w:type="dxa"/>
              <w:bottom w:w="120" w:type="dxa"/>
              <w:end w:w="60" w:type="dxa"/>
            </w:tcMar>
            <w:vAlign w:val="center"/>
          </w:tcPr>
          <w:p>
            <w:pPr>
              <w:jc w:val="center"/>
            </w:pPr>
            <w:r>
              <w:rPr>
                <w:rFonts w:ascii="Georgia" w:hAnsi="Georgia"/>
                <w:b/>
                <w:color w:val="FFFFFF"/>
                <w:sz w:val="38"/>
              </w:rPr>
              <w:t>1</w:t>
            </w:r>
            <w:r>
              <w:br/>
            </w:r>
            <w:r>
              <w:rPr>
                <w:rFonts w:ascii="Aptos" w:hAnsi="Aptos"/>
                <w:b/>
                <w:color w:val="D9E4F2"/>
                <w:sz w:val="15"/>
              </w:rPr>
              <w:t>2-BEDROOM HOME</w:t>
            </w:r>
          </w:p>
        </w:tc>
      </w:tr>
    </w:tbl>
    <w:p>
      <w:pPr>
        <w:spacing w:before="100" w:after="60"/>
        <w:jc w:val="center"/>
      </w:pPr>
      <w:r>
        <w:rPr>
          <w:rFonts w:ascii="Georgia" w:hAnsi="Georgia"/>
          <w:color w:val="22252A"/>
          <w:sz w:val="19"/>
        </w:rPr>
        <w:t>Established manufactured-housing investment with multiple income streams, separate electrical metering, an on-site laundry facility, and a two-bedroom stick-built residence.</w:t>
      </w:r>
    </w:p>
    <w:p>
      <w:pPr>
        <w:jc w:val="center"/>
      </w:pPr>
      <w:r>
        <w:rPr>
          <w:rFonts w:ascii="Georgia" w:hAnsi="Georgia"/>
          <w:b/>
          <w:color w:val="173E68"/>
          <w:sz w:val="18"/>
        </w:rPr>
        <w:t>LYLE STRATTON  |  JEFF CRUMBAKER  |  360.718.8787</w:t>
      </w:r>
    </w:p>
    <w:p>
      <w:pPr>
        <w:spacing w:before="160" w:after="0"/>
        <w:jc w:val="center"/>
      </w:pPr>
      <w:r>
        <w:drawing>
          <wp:inline xmlns:a="http://schemas.openxmlformats.org/drawingml/2006/main" xmlns:pic="http://schemas.openxmlformats.org/drawingml/2006/picture">
            <wp:extent cx="1417320" cy="1417320"/>
            <wp:docPr id="12" name="Picture 12"/>
            <wp:cNvGraphicFramePr>
              <a:graphicFrameLocks noChangeAspect="1"/>
            </wp:cNvGraphicFramePr>
            <a:graphic>
              <a:graphicData uri="http://schemas.openxmlformats.org/drawingml/2006/picture">
                <pic:pic>
                  <pic:nvPicPr>
                    <pic:cNvPr id="0" name="image.png"/>
                    <pic:cNvPicPr/>
                  </pic:nvPicPr>
                  <pic:blipFill>
                    <a:blip r:embed="rId20"/>
                    <a:stretch>
                      <a:fillRect/>
                    </a:stretch>
                  </pic:blipFill>
                  <pic:spPr>
                    <a:xfrm>
                      <a:off x="0" y="0"/>
                      <a:ext cx="1417320" cy="1417320"/>
                    </a:xfrm>
                    <a:prstGeom prst="rect"/>
                  </pic:spPr>
                </pic:pic>
              </a:graphicData>
            </a:graphic>
          </wp:inline>
        </w:drawing>
      </w:r>
    </w:p>
    <w:p>
      <w:r>
        <w:br w:type="page"/>
      </w:r>
    </w:p>
    <w:p>
      <w:pPr>
        <w:spacing w:after="200"/>
      </w:pPr>
      <w:r>
        <w:rPr>
          <w:rFonts w:ascii="Georgia" w:hAnsi="Georgia"/>
          <w:b/>
          <w:color w:val="173E68"/>
          <w:sz w:val="44"/>
        </w:rPr>
        <w:t>INVESTMENT OVERVIEW</w:t>
      </w:r>
    </w:p>
    <w:p>
      <w:pPr>
        <w:spacing w:after="140" w:line="257" w:lineRule="auto"/>
      </w:pPr>
      <w:r>
        <w:rPr>
          <w:rFonts w:ascii="Georgia" w:hAnsi="Georgia"/>
          <w:color w:val="22252A"/>
          <w:sz w:val="22"/>
        </w:rPr>
        <w:t>93531 Coal Bank Lane presents an opportunity to acquire an established 12-space mobile home park in Coos Bay, Oregon. The offering includes 10 manufactured homes owned by the park, two spaces leased to residents who own their manufactured homes, a separate two-bedroom stick-built residence, and an on-site laundry facility.</w:t>
      </w:r>
    </w:p>
    <w:p>
      <w:pPr>
        <w:spacing w:after="140" w:line="257" w:lineRule="auto"/>
      </w:pPr>
      <w:r>
        <w:rPr>
          <w:rFonts w:ascii="Georgia" w:hAnsi="Georgia"/>
          <w:color w:val="22252A"/>
          <w:sz w:val="22"/>
        </w:rPr>
        <w:t>The property offers a diversified rental structure: the majority of income is generated from park-owned homes, while two spaces produce recurring pad-rent income without ownership of the homes. Electrical service is separately metered, supporting clearer utility allocation and operating control.</w:t>
      </w:r>
    </w:p>
    <w:p>
      <w:pPr>
        <w:spacing w:after="120"/>
      </w:pPr>
      <w:r>
        <w:rPr>
          <w:rFonts w:ascii="Georgia" w:hAnsi="Georgia"/>
          <w:b/>
          <w:color w:val="173E68"/>
          <w:sz w:val="30"/>
        </w:rPr>
        <w:t>Property Highlights</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5573"/>
        <w:gridCol w:w="5573"/>
      </w:tblGrid>
      <w:tr>
        <w:tc>
          <w:tcPr>
            <w:tcW w:type="dxa" w:w="5544"/>
            <w:shd w:fill="E8EFF7"/>
            <w:tcMar>
              <w:top w:w="90" w:type="dxa"/>
              <w:start w:w="95" w:type="dxa"/>
              <w:bottom w:w="90" w:type="dxa"/>
              <w:end w:w="95" w:type="dxa"/>
            </w:tcMar>
          </w:tcPr>
          <w:p>
            <w:r>
              <w:rPr>
                <w:rFonts w:ascii="Georgia" w:hAnsi="Georgia"/>
                <w:b/>
                <w:color w:val="22252A"/>
                <w:sz w:val="18"/>
              </w:rPr>
              <w:t>• 12 total mobile home spaces</w:t>
            </w:r>
          </w:p>
        </w:tc>
        <w:tc>
          <w:tcPr>
            <w:tcW w:type="dxa" w:w="5544"/>
            <w:shd w:fill="E8EFF7"/>
            <w:tcMar>
              <w:top w:w="90" w:type="dxa"/>
              <w:start w:w="95" w:type="dxa"/>
              <w:bottom w:w="90" w:type="dxa"/>
              <w:end w:w="95" w:type="dxa"/>
            </w:tcMar>
          </w:tcPr>
          <w:p>
            <w:r>
              <w:rPr>
                <w:rFonts w:ascii="Georgia" w:hAnsi="Georgia"/>
                <w:b/>
                <w:color w:val="22252A"/>
                <w:sz w:val="18"/>
              </w:rPr>
              <w:t>• 10 park-owned manufactured homes</w:t>
            </w:r>
          </w:p>
        </w:tc>
      </w:tr>
      <w:tr>
        <w:tc>
          <w:tcPr>
            <w:tcW w:type="dxa" w:w="5544"/>
            <w:shd w:fill="F8FAFC"/>
            <w:tcMar>
              <w:top w:w="90" w:type="dxa"/>
              <w:start w:w="95" w:type="dxa"/>
              <w:bottom w:w="90" w:type="dxa"/>
              <w:end w:w="95" w:type="dxa"/>
            </w:tcMar>
          </w:tcPr>
          <w:p>
            <w:r>
              <w:rPr>
                <w:rFonts w:ascii="Georgia" w:hAnsi="Georgia"/>
                <w:b/>
                <w:color w:val="22252A"/>
                <w:sz w:val="18"/>
              </w:rPr>
              <w:t>• 2 tenant-owned home spaces</w:t>
            </w:r>
          </w:p>
        </w:tc>
        <w:tc>
          <w:tcPr>
            <w:tcW w:type="dxa" w:w="5544"/>
            <w:shd w:fill="F8FAFC"/>
            <w:tcMar>
              <w:top w:w="90" w:type="dxa"/>
              <w:start w:w="95" w:type="dxa"/>
              <w:bottom w:w="90" w:type="dxa"/>
              <w:end w:w="95" w:type="dxa"/>
            </w:tcMar>
          </w:tcPr>
          <w:p>
            <w:r>
              <w:rPr>
                <w:rFonts w:ascii="Georgia" w:hAnsi="Georgia"/>
                <w:b/>
                <w:color w:val="22252A"/>
                <w:sz w:val="18"/>
              </w:rPr>
              <w:t>• Separate 2-bedroom stick-built home</w:t>
            </w:r>
          </w:p>
        </w:tc>
      </w:tr>
      <w:tr>
        <w:tc>
          <w:tcPr>
            <w:tcW w:type="dxa" w:w="5544"/>
            <w:shd w:fill="E8EFF7"/>
            <w:tcMar>
              <w:top w:w="90" w:type="dxa"/>
              <w:start w:w="95" w:type="dxa"/>
              <w:bottom w:w="90" w:type="dxa"/>
              <w:end w:w="95" w:type="dxa"/>
            </w:tcMar>
          </w:tcPr>
          <w:p>
            <w:r>
              <w:rPr>
                <w:rFonts w:ascii="Georgia" w:hAnsi="Georgia"/>
                <w:b/>
                <w:color w:val="22252A"/>
                <w:sz w:val="18"/>
              </w:rPr>
              <w:t>• On-site laundry facility</w:t>
            </w:r>
          </w:p>
        </w:tc>
        <w:tc>
          <w:tcPr>
            <w:tcW w:type="dxa" w:w="5544"/>
            <w:shd w:fill="E8EFF7"/>
            <w:tcMar>
              <w:top w:w="90" w:type="dxa"/>
              <w:start w:w="95" w:type="dxa"/>
              <w:bottom w:w="90" w:type="dxa"/>
              <w:end w:w="95" w:type="dxa"/>
            </w:tcMar>
          </w:tcPr>
          <w:p>
            <w:r>
              <w:rPr>
                <w:rFonts w:ascii="Georgia" w:hAnsi="Georgia"/>
                <w:b/>
                <w:color w:val="22252A"/>
                <w:sz w:val="18"/>
              </w:rPr>
              <w:t>• Electrical separately metered</w:t>
            </w:r>
          </w:p>
        </w:tc>
      </w:tr>
      <w:tr>
        <w:tc>
          <w:tcPr>
            <w:tcW w:type="dxa" w:w="5544"/>
            <w:shd w:fill="F8FAFC"/>
            <w:tcMar>
              <w:top w:w="90" w:type="dxa"/>
              <w:start w:w="95" w:type="dxa"/>
              <w:bottom w:w="90" w:type="dxa"/>
              <w:end w:w="95" w:type="dxa"/>
            </w:tcMar>
          </w:tcPr>
          <w:p>
            <w:r>
              <w:rPr>
                <w:rFonts w:ascii="Georgia" w:hAnsi="Georgia"/>
                <w:b/>
                <w:color w:val="22252A"/>
                <w:sz w:val="18"/>
              </w:rPr>
              <w:t>• Established income-producing use</w:t>
            </w:r>
          </w:p>
        </w:tc>
        <w:tc>
          <w:tcPr>
            <w:tcW w:type="dxa" w:w="5544"/>
            <w:shd w:fill="F8FAFC"/>
            <w:tcMar>
              <w:top w:w="90" w:type="dxa"/>
              <w:start w:w="95" w:type="dxa"/>
              <w:bottom w:w="90" w:type="dxa"/>
              <w:end w:w="95" w:type="dxa"/>
            </w:tcMar>
          </w:tcPr>
          <w:p>
            <w:r>
              <w:rPr>
                <w:rFonts w:ascii="Georgia" w:hAnsi="Georgia"/>
                <w:b/>
                <w:color w:val="22252A"/>
                <w:sz w:val="18"/>
              </w:rPr>
              <w:t>• Multiple rental-income streams</w:t>
            </w:r>
          </w:p>
        </w:tc>
      </w:tr>
    </w:tbl>
    <w:p>
      <w:pPr>
        <w:spacing w:after="0"/>
        <w:jc w:val="center"/>
      </w:pPr>
      <w:r>
        <w:drawing>
          <wp:inline xmlns:a="http://schemas.openxmlformats.org/drawingml/2006/main" xmlns:pic="http://schemas.openxmlformats.org/drawingml/2006/picture">
            <wp:extent cx="6812280" cy="3246120"/>
            <wp:docPr id="2" name="Picture 2"/>
            <wp:cNvGraphicFramePr>
              <a:graphicFrameLocks noChangeAspect="1"/>
            </wp:cNvGraphicFramePr>
            <a:graphic>
              <a:graphicData uri="http://schemas.openxmlformats.org/drawingml/2006/picture">
                <pic:pic>
                  <pic:nvPicPr>
                    <pic:cNvPr id="0" name="_crop_Coal Bank Pic#8_745_355.jpg"/>
                    <pic:cNvPicPr/>
                  </pic:nvPicPr>
                  <pic:blipFill>
                    <a:blip r:embed="rId11"/>
                    <a:stretch>
                      <a:fillRect/>
                    </a:stretch>
                  </pic:blipFill>
                  <pic:spPr>
                    <a:xfrm>
                      <a:off x="0" y="0"/>
                      <a:ext cx="6812280" cy="3246120"/>
                    </a:xfrm>
                    <a:prstGeom prst="rect"/>
                  </pic:spPr>
                </pic:pic>
              </a:graphicData>
            </a:graphic>
          </wp:inline>
        </w:drawing>
      </w:r>
    </w:p>
    <w:p>
      <w:r>
        <w:br w:type="page"/>
      </w:r>
    </w:p>
    <w:p>
      <w:pPr>
        <w:spacing w:after="200"/>
      </w:pPr>
      <w:r>
        <w:rPr>
          <w:rFonts w:ascii="Georgia" w:hAnsi="Georgia"/>
          <w:b/>
          <w:color w:val="173E68"/>
          <w:sz w:val="44"/>
        </w:rPr>
        <w:t>PROPERTY CONFIGURATION</w:t>
      </w:r>
    </w:p>
    <w:p>
      <w:pPr>
        <w:spacing w:after="140" w:line="257" w:lineRule="auto"/>
      </w:pPr>
      <w:r>
        <w:rPr>
          <w:rFonts w:ascii="Georgia" w:hAnsi="Georgia"/>
          <w:color w:val="22252A"/>
          <w:sz w:val="22"/>
        </w:rPr>
        <w:t>The community combines four distinct operating components, giving a purchaser a mix of full-home rental income, space-rent income, conventional residential rent, and an on-site resident amenity.</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5573"/>
        <w:gridCol w:w="5573"/>
      </w:tblGrid>
      <w:tr>
        <w:tc>
          <w:tcPr>
            <w:tcW w:type="dxa" w:w="3816"/>
            <w:shd w:fill="173E68"/>
            <w:tcMar>
              <w:top w:w="95" w:type="dxa"/>
              <w:start w:w="100" w:type="dxa"/>
              <w:bottom w:w="95" w:type="dxa"/>
              <w:end w:w="100" w:type="dxa"/>
            </w:tcMar>
            <w:vAlign w:val="center"/>
          </w:tcPr>
          <w:p>
            <w:r>
              <w:rPr>
                <w:rFonts w:ascii="Aptos" w:hAnsi="Aptos"/>
                <w:b/>
                <w:color w:val="FFFFFF"/>
                <w:sz w:val="18"/>
              </w:rPr>
              <w:t>Park-Owned Manufactured Homes</w:t>
            </w:r>
          </w:p>
        </w:tc>
        <w:tc>
          <w:tcPr>
            <w:tcW w:type="dxa" w:w="7272"/>
            <w:shd w:fill="E8EFF7"/>
            <w:tcMar>
              <w:top w:w="95" w:type="dxa"/>
              <w:start w:w="100" w:type="dxa"/>
              <w:bottom w:w="95" w:type="dxa"/>
              <w:end w:w="100" w:type="dxa"/>
            </w:tcMar>
            <w:vAlign w:val="center"/>
          </w:tcPr>
          <w:p>
            <w:r>
              <w:rPr>
                <w:rFonts w:ascii="Georgia" w:hAnsi="Georgia"/>
                <w:color w:val="22252A"/>
                <w:sz w:val="18"/>
              </w:rPr>
              <w:t>10 homes - ownership controls both the homes and the underlying spaces.</w:t>
            </w:r>
          </w:p>
        </w:tc>
      </w:tr>
      <w:tr>
        <w:tc>
          <w:tcPr>
            <w:tcW w:type="dxa" w:w="3816"/>
            <w:shd w:fill="244D79"/>
            <w:tcMar>
              <w:top w:w="95" w:type="dxa"/>
              <w:start w:w="100" w:type="dxa"/>
              <w:bottom w:w="95" w:type="dxa"/>
              <w:end w:w="100" w:type="dxa"/>
            </w:tcMar>
            <w:vAlign w:val="center"/>
          </w:tcPr>
          <w:p>
            <w:r>
              <w:rPr>
                <w:rFonts w:ascii="Aptos" w:hAnsi="Aptos"/>
                <w:b/>
                <w:color w:val="FFFFFF"/>
                <w:sz w:val="18"/>
              </w:rPr>
              <w:t>Tenant-Owned Manufactured Homes</w:t>
            </w:r>
          </w:p>
        </w:tc>
        <w:tc>
          <w:tcPr>
            <w:tcW w:type="dxa" w:w="7272"/>
            <w:shd w:fill="F4F7FA"/>
            <w:tcMar>
              <w:top w:w="95" w:type="dxa"/>
              <w:start w:w="100" w:type="dxa"/>
              <w:bottom w:w="95" w:type="dxa"/>
              <w:end w:w="100" w:type="dxa"/>
            </w:tcMar>
            <w:vAlign w:val="center"/>
          </w:tcPr>
          <w:p>
            <w:r>
              <w:rPr>
                <w:rFonts w:ascii="Georgia" w:hAnsi="Georgia"/>
                <w:color w:val="22252A"/>
                <w:sz w:val="18"/>
              </w:rPr>
              <w:t>2 spaces - residents own their homes and lease the spaces from the park.</w:t>
            </w:r>
          </w:p>
        </w:tc>
      </w:tr>
      <w:tr>
        <w:tc>
          <w:tcPr>
            <w:tcW w:type="dxa" w:w="3816"/>
            <w:shd w:fill="173E68"/>
            <w:tcMar>
              <w:top w:w="95" w:type="dxa"/>
              <w:start w:w="100" w:type="dxa"/>
              <w:bottom w:w="95" w:type="dxa"/>
              <w:end w:w="100" w:type="dxa"/>
            </w:tcMar>
            <w:vAlign w:val="center"/>
          </w:tcPr>
          <w:p>
            <w:r>
              <w:rPr>
                <w:rFonts w:ascii="Aptos" w:hAnsi="Aptos"/>
                <w:b/>
                <w:color w:val="FFFFFF"/>
                <w:sz w:val="18"/>
              </w:rPr>
              <w:t>Stick-Built Residence</w:t>
            </w:r>
          </w:p>
        </w:tc>
        <w:tc>
          <w:tcPr>
            <w:tcW w:type="dxa" w:w="7272"/>
            <w:shd w:fill="E8EFF7"/>
            <w:tcMar>
              <w:top w:w="95" w:type="dxa"/>
              <w:start w:w="100" w:type="dxa"/>
              <w:bottom w:w="95" w:type="dxa"/>
              <w:end w:w="100" w:type="dxa"/>
            </w:tcMar>
            <w:vAlign w:val="center"/>
          </w:tcPr>
          <w:p>
            <w:r>
              <w:rPr>
                <w:rFonts w:ascii="Georgia" w:hAnsi="Georgia"/>
                <w:color w:val="22252A"/>
                <w:sz w:val="18"/>
              </w:rPr>
              <w:t>1 separate two-bedroom home providing an additional conventional rental component.</w:t>
            </w:r>
          </w:p>
        </w:tc>
      </w:tr>
      <w:tr>
        <w:tc>
          <w:tcPr>
            <w:tcW w:type="dxa" w:w="3816"/>
            <w:shd w:fill="244D79"/>
            <w:tcMar>
              <w:top w:w="95" w:type="dxa"/>
              <w:start w:w="100" w:type="dxa"/>
              <w:bottom w:w="95" w:type="dxa"/>
              <w:end w:w="100" w:type="dxa"/>
            </w:tcMar>
            <w:vAlign w:val="center"/>
          </w:tcPr>
          <w:p>
            <w:r>
              <w:rPr>
                <w:rFonts w:ascii="Aptos" w:hAnsi="Aptos"/>
                <w:b/>
                <w:color w:val="FFFFFF"/>
                <w:sz w:val="18"/>
              </w:rPr>
              <w:t>Laundry Facility</w:t>
            </w:r>
          </w:p>
        </w:tc>
        <w:tc>
          <w:tcPr>
            <w:tcW w:type="dxa" w:w="7272"/>
            <w:shd w:fill="F4F7FA"/>
            <w:tcMar>
              <w:top w:w="95" w:type="dxa"/>
              <w:start w:w="100" w:type="dxa"/>
              <w:bottom w:w="95" w:type="dxa"/>
              <w:end w:w="100" w:type="dxa"/>
            </w:tcMar>
            <w:vAlign w:val="center"/>
          </w:tcPr>
          <w:p>
            <w:r>
              <w:rPr>
                <w:rFonts w:ascii="Georgia" w:hAnsi="Georgia"/>
                <w:color w:val="22252A"/>
                <w:sz w:val="18"/>
              </w:rPr>
              <w:t>On-site laundry facility serving the community.</w:t>
            </w:r>
          </w:p>
        </w:tc>
      </w:tr>
    </w:tbl>
    <w:p>
      <w:pPr>
        <w:spacing w:after="0"/>
        <w:jc w:val="center"/>
      </w:pPr>
      <w:r>
        <w:drawing>
          <wp:inline xmlns:a="http://schemas.openxmlformats.org/drawingml/2006/main" xmlns:pic="http://schemas.openxmlformats.org/drawingml/2006/picture">
            <wp:extent cx="6812280" cy="3657600"/>
            <wp:docPr id="3" name="Picture 3"/>
            <wp:cNvGraphicFramePr>
              <a:graphicFrameLocks noChangeAspect="1"/>
            </wp:cNvGraphicFramePr>
            <a:graphic>
              <a:graphicData uri="http://schemas.openxmlformats.org/drawingml/2006/picture">
                <pic:pic>
                  <pic:nvPicPr>
                    <pic:cNvPr id="0" name="_crop_Coal Bank Pic#2_745_400.jpg"/>
                    <pic:cNvPicPr/>
                  </pic:nvPicPr>
                  <pic:blipFill>
                    <a:blip r:embed="rId12"/>
                    <a:stretch>
                      <a:fillRect/>
                    </a:stretch>
                  </pic:blipFill>
                  <pic:spPr>
                    <a:xfrm>
                      <a:off x="0" y="0"/>
                      <a:ext cx="6812280" cy="3657600"/>
                    </a:xfrm>
                    <a:prstGeom prst="rect"/>
                  </pic:spPr>
                </pic:pic>
              </a:graphicData>
            </a:graphic>
          </wp:inline>
        </w:drawing>
      </w:r>
    </w:p>
    <w:p>
      <w:r>
        <w:br w:type="page"/>
      </w:r>
    </w:p>
    <w:p>
      <w:pPr>
        <w:spacing w:after="200"/>
      </w:pPr>
      <w:r>
        <w:rPr>
          <w:rFonts w:ascii="Georgia" w:hAnsi="Georgia"/>
          <w:b/>
          <w:color w:val="173E68"/>
          <w:sz w:val="44"/>
        </w:rPr>
        <w:t>UTILITY &amp; OPERATING FEATURES</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2786"/>
        <w:gridCol w:w="2786"/>
        <w:gridCol w:w="2786"/>
        <w:gridCol w:w="2786"/>
      </w:tblGrid>
      <w:tr>
        <w:tc>
          <w:tcPr>
            <w:tcW w:type="dxa" w:w="2772"/>
            <w:shd w:fill="173E68"/>
            <w:tcMar>
              <w:top w:w="140" w:type="dxa"/>
              <w:start w:w="60" w:type="dxa"/>
              <w:bottom w:w="120" w:type="dxa"/>
              <w:end w:w="60" w:type="dxa"/>
            </w:tcMar>
            <w:vAlign w:val="center"/>
          </w:tcPr>
          <w:p>
            <w:pPr>
              <w:jc w:val="center"/>
            </w:pPr>
            <w:r>
              <w:rPr>
                <w:rFonts w:ascii="Georgia" w:hAnsi="Georgia"/>
                <w:b/>
                <w:color w:val="FFFFFF"/>
                <w:sz w:val="38"/>
              </w:rPr>
              <w:t>SEPARATE</w:t>
            </w:r>
            <w:r>
              <w:br/>
            </w:r>
            <w:r>
              <w:rPr>
                <w:rFonts w:ascii="Aptos" w:hAnsi="Aptos"/>
                <w:b/>
                <w:color w:val="D9E4F2"/>
                <w:sz w:val="15"/>
              </w:rPr>
              <w:t>ELECTRICAL METERING</w:t>
            </w:r>
          </w:p>
        </w:tc>
        <w:tc>
          <w:tcPr>
            <w:tcW w:type="dxa" w:w="2772"/>
            <w:shd w:fill="173E68"/>
            <w:tcMar>
              <w:top w:w="140" w:type="dxa"/>
              <w:start w:w="60" w:type="dxa"/>
              <w:bottom w:w="120" w:type="dxa"/>
              <w:end w:w="60" w:type="dxa"/>
            </w:tcMar>
            <w:vAlign w:val="center"/>
          </w:tcPr>
          <w:p>
            <w:pPr>
              <w:jc w:val="center"/>
            </w:pPr>
            <w:r>
              <w:rPr>
                <w:rFonts w:ascii="Georgia" w:hAnsi="Georgia"/>
                <w:b/>
                <w:color w:val="FFFFFF"/>
                <w:sz w:val="38"/>
              </w:rPr>
              <w:t>12</w:t>
            </w:r>
            <w:r>
              <w:br/>
            </w:r>
            <w:r>
              <w:rPr>
                <w:rFonts w:ascii="Aptos" w:hAnsi="Aptos"/>
                <w:b/>
                <w:color w:val="D9E4F2"/>
                <w:sz w:val="15"/>
              </w:rPr>
              <w:t>MOBILE HOME SPACES</w:t>
            </w:r>
          </w:p>
        </w:tc>
        <w:tc>
          <w:tcPr>
            <w:tcW w:type="dxa" w:w="2772"/>
            <w:shd w:fill="173E68"/>
            <w:tcMar>
              <w:top w:w="140" w:type="dxa"/>
              <w:start w:w="60" w:type="dxa"/>
              <w:bottom w:w="120" w:type="dxa"/>
              <w:end w:w="60" w:type="dxa"/>
            </w:tcMar>
            <w:vAlign w:val="center"/>
          </w:tcPr>
          <w:p>
            <w:pPr>
              <w:jc w:val="center"/>
            </w:pPr>
            <w:r>
              <w:rPr>
                <w:rFonts w:ascii="Georgia" w:hAnsi="Georgia"/>
                <w:b/>
                <w:color w:val="FFFFFF"/>
                <w:sz w:val="38"/>
              </w:rPr>
              <w:t>10</w:t>
            </w:r>
            <w:r>
              <w:br/>
            </w:r>
            <w:r>
              <w:rPr>
                <w:rFonts w:ascii="Aptos" w:hAnsi="Aptos"/>
                <w:b/>
                <w:color w:val="D9E4F2"/>
                <w:sz w:val="15"/>
              </w:rPr>
              <w:t>PARK-OWNED HOMES</w:t>
            </w:r>
          </w:p>
        </w:tc>
        <w:tc>
          <w:tcPr>
            <w:tcW w:type="dxa" w:w="2772"/>
            <w:shd w:fill="173E68"/>
            <w:tcMar>
              <w:top w:w="140" w:type="dxa"/>
              <w:start w:w="60" w:type="dxa"/>
              <w:bottom w:w="120" w:type="dxa"/>
              <w:end w:w="60" w:type="dxa"/>
            </w:tcMar>
            <w:vAlign w:val="center"/>
          </w:tcPr>
          <w:p>
            <w:pPr>
              <w:jc w:val="center"/>
            </w:pPr>
            <w:r>
              <w:rPr>
                <w:rFonts w:ascii="Georgia" w:hAnsi="Georgia"/>
                <w:b/>
                <w:color w:val="FFFFFF"/>
                <w:sz w:val="38"/>
              </w:rPr>
              <w:t>1</w:t>
            </w:r>
            <w:r>
              <w:br/>
            </w:r>
            <w:r>
              <w:rPr>
                <w:rFonts w:ascii="Aptos" w:hAnsi="Aptos"/>
                <w:b/>
                <w:color w:val="D9E4F2"/>
                <w:sz w:val="15"/>
              </w:rPr>
              <w:t>ON-SITE LAUNDRY</w:t>
            </w:r>
          </w:p>
        </w:tc>
      </w:tr>
    </w:tbl>
    <w:p>
      <w:pPr>
        <w:spacing w:after="140" w:line="257" w:lineRule="auto"/>
      </w:pPr>
      <w:r>
        <w:rPr>
          <w:rFonts w:ascii="Georgia" w:hAnsi="Georgia"/>
          <w:color w:val="22252A"/>
          <w:sz w:val="22"/>
        </w:rPr>
        <w:t>All electrical service is separately metered. Individual metering is an important operating feature because it allows electrical usage to be measured by residence rather than blended into a single common-area service.</w:t>
      </w:r>
    </w:p>
    <w:p>
      <w:pPr>
        <w:spacing w:after="140" w:line="257" w:lineRule="auto"/>
      </w:pPr>
      <w:r>
        <w:rPr>
          <w:rFonts w:ascii="Georgia" w:hAnsi="Georgia"/>
          <w:color w:val="22252A"/>
          <w:sz w:val="22"/>
        </w:rPr>
        <w:t>The park-owned-home structure also provides direct control over the majority of the housing stock, while the two tenant-owned homes provide a lower-maintenance space-rent component.</w:t>
      </w:r>
    </w:p>
    <w:p>
      <w:pPr>
        <w:spacing w:after="0"/>
        <w:jc w:val="center"/>
      </w:pPr>
      <w:r>
        <w:drawing>
          <wp:inline xmlns:a="http://schemas.openxmlformats.org/drawingml/2006/main" xmlns:pic="http://schemas.openxmlformats.org/drawingml/2006/picture">
            <wp:extent cx="6812280" cy="3611880"/>
            <wp:docPr id="4" name="Picture 4"/>
            <wp:cNvGraphicFramePr>
              <a:graphicFrameLocks noChangeAspect="1"/>
            </wp:cNvGraphicFramePr>
            <a:graphic>
              <a:graphicData uri="http://schemas.openxmlformats.org/drawingml/2006/picture">
                <pic:pic>
                  <pic:nvPicPr>
                    <pic:cNvPr id="0" name="_crop_Coal Bank Pic#3_745_395.jpg"/>
                    <pic:cNvPicPr/>
                  </pic:nvPicPr>
                  <pic:blipFill>
                    <a:blip r:embed="rId13"/>
                    <a:stretch>
                      <a:fillRect/>
                    </a:stretch>
                  </pic:blipFill>
                  <pic:spPr>
                    <a:xfrm>
                      <a:off x="0" y="0"/>
                      <a:ext cx="6812280" cy="3611880"/>
                    </a:xfrm>
                    <a:prstGeom prst="rect"/>
                  </pic:spPr>
                </pic:pic>
              </a:graphicData>
            </a:graphic>
          </wp:inline>
        </w:drawing>
      </w:r>
    </w:p>
    <w:p>
      <w:r>
        <w:br w:type="page"/>
      </w:r>
    </w:p>
    <w:p>
      <w:pPr>
        <w:spacing w:after="200"/>
      </w:pPr>
      <w:r>
        <w:rPr>
          <w:rFonts w:ascii="Georgia" w:hAnsi="Georgia"/>
          <w:b/>
          <w:color w:val="173E68"/>
          <w:sz w:val="44"/>
        </w:rPr>
        <w:t>SITE &amp; LOCATION</w:t>
      </w:r>
    </w:p>
    <w:p>
      <w:pPr>
        <w:spacing w:after="140" w:line="257" w:lineRule="auto"/>
      </w:pPr>
      <w:r>
        <w:rPr>
          <w:rFonts w:ascii="Georgia" w:hAnsi="Georgia"/>
          <w:color w:val="22252A"/>
          <w:sz w:val="22"/>
        </w:rPr>
        <w:t>The property is located at 93531 Coal Bank Lane in Coos Bay, with access from the surrounding neighborhood street network. The aerial photography below illustrates the park setting and its relationship to the surrounding Coos Bay area. Lot-line depictions shown in photography are approximate and should be independently verified.</w:t>
      </w:r>
    </w:p>
    <w:p>
      <w:pPr>
        <w:spacing w:after="100"/>
        <w:jc w:val="center"/>
      </w:pPr>
      <w:r>
        <w:drawing>
          <wp:inline xmlns:a="http://schemas.openxmlformats.org/drawingml/2006/main" xmlns:pic="http://schemas.openxmlformats.org/drawingml/2006/picture">
            <wp:extent cx="6812280" cy="3749039"/>
            <wp:docPr id="5" name="Picture 5"/>
            <wp:cNvGraphicFramePr>
              <a:graphicFrameLocks noChangeAspect="1"/>
            </wp:cNvGraphicFramePr>
            <a:graphic>
              <a:graphicData uri="http://schemas.openxmlformats.org/drawingml/2006/picture">
                <pic:pic>
                  <pic:nvPicPr>
                    <pic:cNvPr id="0" name="_crop_Coal Bank Pic#1_745_409.jpg"/>
                    <pic:cNvPicPr/>
                  </pic:nvPicPr>
                  <pic:blipFill>
                    <a:blip r:embed="rId14"/>
                    <a:stretch>
                      <a:fillRect/>
                    </a:stretch>
                  </pic:blipFill>
                  <pic:spPr>
                    <a:xfrm>
                      <a:off x="0" y="0"/>
                      <a:ext cx="6812280" cy="3749039"/>
                    </a:xfrm>
                    <a:prstGeom prst="rect"/>
                  </pic:spPr>
                </pic:pic>
              </a:graphicData>
            </a:graphic>
          </wp:inline>
        </w:drawing>
      </w:r>
    </w:p>
    <w:p>
      <w:pPr>
        <w:jc w:val="center"/>
      </w:pPr>
      <w:r>
        <w:rPr>
          <w:rFonts w:ascii="Georgia" w:hAnsi="Georgia"/>
          <w:i/>
          <w:color w:val="66717F"/>
          <w:sz w:val="16"/>
        </w:rPr>
        <w:t>Aerial view - lot lines shown are approximate.</w:t>
      </w:r>
    </w:p>
    <w:p>
      <w:r>
        <w:br w:type="page"/>
      </w:r>
    </w:p>
    <w:p>
      <w:pPr>
        <w:spacing w:after="200"/>
      </w:pPr>
      <w:r>
        <w:rPr>
          <w:rFonts w:ascii="Georgia" w:hAnsi="Georgia"/>
          <w:b/>
          <w:color w:val="173E68"/>
          <w:sz w:val="44"/>
        </w:rPr>
        <w:t>OFFERING FACTS</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5573"/>
        <w:gridCol w:w="5573"/>
      </w:tblGrid>
      <w:tr>
        <w:tc>
          <w:tcPr>
            <w:tcW w:type="dxa" w:w="3816"/>
            <w:shd w:fill="173E68"/>
            <w:tcMar>
              <w:top w:w="95" w:type="dxa"/>
              <w:start w:w="100" w:type="dxa"/>
              <w:bottom w:w="95" w:type="dxa"/>
              <w:end w:w="100" w:type="dxa"/>
            </w:tcMar>
            <w:vAlign w:val="center"/>
          </w:tcPr>
          <w:p>
            <w:r>
              <w:rPr>
                <w:rFonts w:ascii="Aptos" w:hAnsi="Aptos"/>
                <w:b/>
                <w:color w:val="FFFFFF"/>
                <w:sz w:val="18"/>
              </w:rPr>
              <w:t>Property</w:t>
            </w:r>
          </w:p>
        </w:tc>
        <w:tc>
          <w:tcPr>
            <w:tcW w:type="dxa" w:w="7272"/>
            <w:shd w:fill="E8EFF7"/>
            <w:tcMar>
              <w:top w:w="95" w:type="dxa"/>
              <w:start w:w="100" w:type="dxa"/>
              <w:bottom w:w="95" w:type="dxa"/>
              <w:end w:w="100" w:type="dxa"/>
            </w:tcMar>
            <w:vAlign w:val="center"/>
          </w:tcPr>
          <w:p>
            <w:r>
              <w:rPr>
                <w:rFonts w:ascii="Georgia" w:hAnsi="Georgia"/>
                <w:color w:val="22252A"/>
                <w:sz w:val="18"/>
              </w:rPr>
              <w:t>93531 Coal Bank Lane, Coos Bay, Oregon 97420</w:t>
            </w:r>
          </w:p>
        </w:tc>
      </w:tr>
      <w:tr>
        <w:tc>
          <w:tcPr>
            <w:tcW w:type="dxa" w:w="3816"/>
            <w:shd w:fill="244D79"/>
            <w:tcMar>
              <w:top w:w="95" w:type="dxa"/>
              <w:start w:w="100" w:type="dxa"/>
              <w:bottom w:w="95" w:type="dxa"/>
              <w:end w:w="100" w:type="dxa"/>
            </w:tcMar>
            <w:vAlign w:val="center"/>
          </w:tcPr>
          <w:p>
            <w:r>
              <w:rPr>
                <w:rFonts w:ascii="Aptos" w:hAnsi="Aptos"/>
                <w:b/>
                <w:color w:val="FFFFFF"/>
                <w:sz w:val="18"/>
              </w:rPr>
              <w:t>Property Type</w:t>
            </w:r>
          </w:p>
        </w:tc>
        <w:tc>
          <w:tcPr>
            <w:tcW w:type="dxa" w:w="7272"/>
            <w:shd w:fill="F4F7FA"/>
            <w:tcMar>
              <w:top w:w="95" w:type="dxa"/>
              <w:start w:w="100" w:type="dxa"/>
              <w:bottom w:w="95" w:type="dxa"/>
              <w:end w:w="100" w:type="dxa"/>
            </w:tcMar>
            <w:vAlign w:val="center"/>
          </w:tcPr>
          <w:p>
            <w:r>
              <w:rPr>
                <w:rFonts w:ascii="Georgia" w:hAnsi="Georgia"/>
                <w:color w:val="22252A"/>
                <w:sz w:val="18"/>
              </w:rPr>
              <w:t>Manufactured Housing / Mobile Home Park</w:t>
            </w:r>
          </w:p>
        </w:tc>
      </w:tr>
      <w:tr>
        <w:tc>
          <w:tcPr>
            <w:tcW w:type="dxa" w:w="3816"/>
            <w:shd w:fill="173E68"/>
            <w:tcMar>
              <w:top w:w="95" w:type="dxa"/>
              <w:start w:w="100" w:type="dxa"/>
              <w:bottom w:w="95" w:type="dxa"/>
              <w:end w:w="100" w:type="dxa"/>
            </w:tcMar>
            <w:vAlign w:val="center"/>
          </w:tcPr>
          <w:p>
            <w:r>
              <w:rPr>
                <w:rFonts w:ascii="Aptos" w:hAnsi="Aptos"/>
                <w:b/>
                <w:color w:val="FFFFFF"/>
                <w:sz w:val="18"/>
              </w:rPr>
              <w:t>Mobile Home Spaces</w:t>
            </w:r>
          </w:p>
        </w:tc>
        <w:tc>
          <w:tcPr>
            <w:tcW w:type="dxa" w:w="7272"/>
            <w:shd w:fill="E8EFF7"/>
            <w:tcMar>
              <w:top w:w="95" w:type="dxa"/>
              <w:start w:w="100" w:type="dxa"/>
              <w:bottom w:w="95" w:type="dxa"/>
              <w:end w:w="100" w:type="dxa"/>
            </w:tcMar>
            <w:vAlign w:val="center"/>
          </w:tcPr>
          <w:p>
            <w:r>
              <w:rPr>
                <w:rFonts w:ascii="Georgia" w:hAnsi="Georgia"/>
                <w:color w:val="22252A"/>
                <w:sz w:val="18"/>
              </w:rPr>
              <w:t>12 total</w:t>
            </w:r>
          </w:p>
        </w:tc>
      </w:tr>
      <w:tr>
        <w:tc>
          <w:tcPr>
            <w:tcW w:type="dxa" w:w="3816"/>
            <w:shd w:fill="244D79"/>
            <w:tcMar>
              <w:top w:w="95" w:type="dxa"/>
              <w:start w:w="100" w:type="dxa"/>
              <w:bottom w:w="95" w:type="dxa"/>
              <w:end w:w="100" w:type="dxa"/>
            </w:tcMar>
            <w:vAlign w:val="center"/>
          </w:tcPr>
          <w:p>
            <w:r>
              <w:rPr>
                <w:rFonts w:ascii="Aptos" w:hAnsi="Aptos"/>
                <w:b/>
                <w:color w:val="FFFFFF"/>
                <w:sz w:val="18"/>
              </w:rPr>
              <w:t>Park-Owned Homes</w:t>
            </w:r>
          </w:p>
        </w:tc>
        <w:tc>
          <w:tcPr>
            <w:tcW w:type="dxa" w:w="7272"/>
            <w:shd w:fill="F4F7FA"/>
            <w:tcMar>
              <w:top w:w="95" w:type="dxa"/>
              <w:start w:w="100" w:type="dxa"/>
              <w:bottom w:w="95" w:type="dxa"/>
              <w:end w:w="100" w:type="dxa"/>
            </w:tcMar>
            <w:vAlign w:val="center"/>
          </w:tcPr>
          <w:p>
            <w:r>
              <w:rPr>
                <w:rFonts w:ascii="Georgia" w:hAnsi="Georgia"/>
                <w:color w:val="22252A"/>
                <w:sz w:val="18"/>
              </w:rPr>
              <w:t>10</w:t>
            </w:r>
          </w:p>
        </w:tc>
      </w:tr>
      <w:tr>
        <w:tc>
          <w:tcPr>
            <w:tcW w:type="dxa" w:w="3816"/>
            <w:shd w:fill="173E68"/>
            <w:tcMar>
              <w:top w:w="95" w:type="dxa"/>
              <w:start w:w="100" w:type="dxa"/>
              <w:bottom w:w="95" w:type="dxa"/>
              <w:end w:w="100" w:type="dxa"/>
            </w:tcMar>
            <w:vAlign w:val="center"/>
          </w:tcPr>
          <w:p>
            <w:r>
              <w:rPr>
                <w:rFonts w:ascii="Aptos" w:hAnsi="Aptos"/>
                <w:b/>
                <w:color w:val="FFFFFF"/>
                <w:sz w:val="18"/>
              </w:rPr>
              <w:t>Tenant-Owned Home Spaces</w:t>
            </w:r>
          </w:p>
        </w:tc>
        <w:tc>
          <w:tcPr>
            <w:tcW w:type="dxa" w:w="7272"/>
            <w:shd w:fill="E8EFF7"/>
            <w:tcMar>
              <w:top w:w="95" w:type="dxa"/>
              <w:start w:w="100" w:type="dxa"/>
              <w:bottom w:w="95" w:type="dxa"/>
              <w:end w:w="100" w:type="dxa"/>
            </w:tcMar>
            <w:vAlign w:val="center"/>
          </w:tcPr>
          <w:p>
            <w:r>
              <w:rPr>
                <w:rFonts w:ascii="Georgia" w:hAnsi="Georgia"/>
                <w:color w:val="22252A"/>
                <w:sz w:val="18"/>
              </w:rPr>
              <w:t>2</w:t>
            </w:r>
          </w:p>
        </w:tc>
      </w:tr>
      <w:tr>
        <w:tc>
          <w:tcPr>
            <w:tcW w:type="dxa" w:w="3816"/>
            <w:shd w:fill="244D79"/>
            <w:tcMar>
              <w:top w:w="95" w:type="dxa"/>
              <w:start w:w="100" w:type="dxa"/>
              <w:bottom w:w="95" w:type="dxa"/>
              <w:end w:w="100" w:type="dxa"/>
            </w:tcMar>
            <w:vAlign w:val="center"/>
          </w:tcPr>
          <w:p>
            <w:r>
              <w:rPr>
                <w:rFonts w:ascii="Aptos" w:hAnsi="Aptos"/>
                <w:b/>
                <w:color w:val="FFFFFF"/>
                <w:sz w:val="18"/>
              </w:rPr>
              <w:t>Additional Residence</w:t>
            </w:r>
          </w:p>
        </w:tc>
        <w:tc>
          <w:tcPr>
            <w:tcW w:type="dxa" w:w="7272"/>
            <w:shd w:fill="F4F7FA"/>
            <w:tcMar>
              <w:top w:w="95" w:type="dxa"/>
              <w:start w:w="100" w:type="dxa"/>
              <w:bottom w:w="95" w:type="dxa"/>
              <w:end w:w="100" w:type="dxa"/>
            </w:tcMar>
            <w:vAlign w:val="center"/>
          </w:tcPr>
          <w:p>
            <w:r>
              <w:rPr>
                <w:rFonts w:ascii="Georgia" w:hAnsi="Georgia"/>
                <w:color w:val="22252A"/>
                <w:sz w:val="18"/>
              </w:rPr>
              <w:t>Two-bedroom stick-built home</w:t>
            </w:r>
          </w:p>
        </w:tc>
      </w:tr>
      <w:tr>
        <w:tc>
          <w:tcPr>
            <w:tcW w:type="dxa" w:w="3816"/>
            <w:shd w:fill="173E68"/>
            <w:tcMar>
              <w:top w:w="95" w:type="dxa"/>
              <w:start w:w="100" w:type="dxa"/>
              <w:bottom w:w="95" w:type="dxa"/>
              <w:end w:w="100" w:type="dxa"/>
            </w:tcMar>
            <w:vAlign w:val="center"/>
          </w:tcPr>
          <w:p>
            <w:r>
              <w:rPr>
                <w:rFonts w:ascii="Aptos" w:hAnsi="Aptos"/>
                <w:b/>
                <w:color w:val="FFFFFF"/>
                <w:sz w:val="18"/>
              </w:rPr>
              <w:t>Laundry</w:t>
            </w:r>
          </w:p>
        </w:tc>
        <w:tc>
          <w:tcPr>
            <w:tcW w:type="dxa" w:w="7272"/>
            <w:shd w:fill="E8EFF7"/>
            <w:tcMar>
              <w:top w:w="95" w:type="dxa"/>
              <w:start w:w="100" w:type="dxa"/>
              <w:bottom w:w="95" w:type="dxa"/>
              <w:end w:w="100" w:type="dxa"/>
            </w:tcMar>
            <w:vAlign w:val="center"/>
          </w:tcPr>
          <w:p>
            <w:r>
              <w:rPr>
                <w:rFonts w:ascii="Georgia" w:hAnsi="Georgia"/>
                <w:color w:val="22252A"/>
                <w:sz w:val="18"/>
              </w:rPr>
              <w:t>On-site facility</w:t>
            </w:r>
          </w:p>
        </w:tc>
      </w:tr>
      <w:tr>
        <w:tc>
          <w:tcPr>
            <w:tcW w:type="dxa" w:w="3816"/>
            <w:shd w:fill="244D79"/>
            <w:tcMar>
              <w:top w:w="95" w:type="dxa"/>
              <w:start w:w="100" w:type="dxa"/>
              <w:bottom w:w="95" w:type="dxa"/>
              <w:end w:w="100" w:type="dxa"/>
            </w:tcMar>
            <w:vAlign w:val="center"/>
          </w:tcPr>
          <w:p>
            <w:r>
              <w:rPr>
                <w:rFonts w:ascii="Aptos" w:hAnsi="Aptos"/>
                <w:b/>
                <w:color w:val="FFFFFF"/>
                <w:sz w:val="18"/>
              </w:rPr>
              <w:t>Electrical</w:t>
            </w:r>
          </w:p>
        </w:tc>
        <w:tc>
          <w:tcPr>
            <w:tcW w:type="dxa" w:w="7272"/>
            <w:shd w:fill="F4F7FA"/>
            <w:tcMar>
              <w:top w:w="95" w:type="dxa"/>
              <w:start w:w="100" w:type="dxa"/>
              <w:bottom w:w="95" w:type="dxa"/>
              <w:end w:w="100" w:type="dxa"/>
            </w:tcMar>
            <w:vAlign w:val="center"/>
          </w:tcPr>
          <w:p>
            <w:r>
              <w:rPr>
                <w:rFonts w:ascii="Georgia" w:hAnsi="Georgia"/>
                <w:color w:val="22252A"/>
                <w:sz w:val="18"/>
              </w:rPr>
              <w:t>Separately metered</w:t>
            </w:r>
          </w:p>
        </w:tc>
      </w:tr>
      <w:tr>
        <w:tc>
          <w:tcPr>
            <w:tcW w:type="dxa" w:w="3816"/>
            <w:shd w:fill="173E68"/>
            <w:tcMar>
              <w:top w:w="95" w:type="dxa"/>
              <w:start w:w="100" w:type="dxa"/>
              <w:bottom w:w="95" w:type="dxa"/>
              <w:end w:w="100" w:type="dxa"/>
            </w:tcMar>
            <w:vAlign w:val="center"/>
          </w:tcPr>
          <w:p>
            <w:r>
              <w:rPr>
                <w:rFonts w:ascii="Aptos" w:hAnsi="Aptos"/>
                <w:b/>
                <w:color w:val="FFFFFF"/>
                <w:sz w:val="18"/>
              </w:rPr>
              <w:t>Asking Price</w:t>
            </w:r>
          </w:p>
        </w:tc>
        <w:tc>
          <w:tcPr>
            <w:tcW w:type="dxa" w:w="7272"/>
            <w:shd w:fill="E8EFF7"/>
            <w:tcMar>
              <w:top w:w="95" w:type="dxa"/>
              <w:start w:w="100" w:type="dxa"/>
              <w:bottom w:w="95" w:type="dxa"/>
              <w:end w:w="100" w:type="dxa"/>
            </w:tcMar>
            <w:vAlign w:val="center"/>
          </w:tcPr>
          <w:p>
            <w:r>
              <w:rPr>
                <w:rFonts w:ascii="Georgia" w:hAnsi="Georgia"/>
                <w:color w:val="22252A"/>
                <w:sz w:val="18"/>
              </w:rPr>
              <w:t>$1,100,000</w:t>
            </w:r>
          </w:p>
        </w:tc>
      </w:tr>
    </w:tbl>
    <w:p>
      <w:pPr>
        <w:spacing w:after="40"/>
        <w:jc w:val="center"/>
      </w:pPr>
      <w:r>
        <w:drawing>
          <wp:inline xmlns:a="http://schemas.openxmlformats.org/drawingml/2006/main" xmlns:pic="http://schemas.openxmlformats.org/drawingml/2006/picture">
            <wp:extent cx="6812280" cy="3337560"/>
            <wp:docPr id="6" name="Picture 6"/>
            <wp:cNvGraphicFramePr>
              <a:graphicFrameLocks noChangeAspect="1"/>
            </wp:cNvGraphicFramePr>
            <a:graphic>
              <a:graphicData uri="http://schemas.openxmlformats.org/drawingml/2006/picture">
                <pic:pic>
                  <pic:nvPicPr>
                    <pic:cNvPr id="0" name="_crop_Coal Bank Pic#6_745_365.jpg"/>
                    <pic:cNvPicPr/>
                  </pic:nvPicPr>
                  <pic:blipFill>
                    <a:blip r:embed="rId15"/>
                    <a:stretch>
                      <a:fillRect/>
                    </a:stretch>
                  </pic:blipFill>
                  <pic:spPr>
                    <a:xfrm>
                      <a:off x="0" y="0"/>
                      <a:ext cx="6812280" cy="3337560"/>
                    </a:xfrm>
                    <a:prstGeom prst="rect"/>
                  </pic:spPr>
                </pic:pic>
              </a:graphicData>
            </a:graphic>
          </wp:inline>
        </w:drawing>
      </w:r>
    </w:p>
    <w:p>
      <w:r>
        <w:br w:type="page"/>
      </w:r>
    </w:p>
    <w:p>
      <w:pPr>
        <w:pageBreakBefore/>
        <w:spacing w:after="100"/>
      </w:pPr>
      <w:r>
        <w:rPr>
          <w:rFonts w:ascii="Georgia" w:hAnsi="Georgia"/>
          <w:b/>
          <w:color w:val="17365D"/>
          <w:sz w:val="48"/>
        </w:rPr>
        <w:t>FINANCIAL SNAPSHOT</w:t>
      </w:r>
    </w:p>
    <w:tbl>
      <w:tblPr>
        <w:tblW w:type="auto" w:w="0"/>
        <w:jc w:val="center"/>
        <w:tblLayout w:type="fixed"/>
        <w:tblLook w:firstColumn="1" w:firstRow="1" w:lastColumn="0" w:lastRow="0" w:noHBand="0" w:noVBand="1" w:val="04A0"/>
      </w:tblPr>
      <w:tblGrid>
        <w:gridCol w:w="3715"/>
        <w:gridCol w:w="3715"/>
        <w:gridCol w:w="3715"/>
      </w:tblGrid>
      <w:tr>
        <w:tc>
          <w:tcPr>
            <w:tcW w:type="dxa" w:w="3571"/>
            <w:vAlign w:val="center"/>
            <w:tcMar>
              <w:top w:w="110" w:type="dxa"/>
              <w:start w:w="100" w:type="dxa"/>
              <w:bottom w:w="110" w:type="dxa"/>
              <w:end w:w="100" w:type="dxa"/>
            </w:tcMar>
            <w:shd w:fill="17365D"/>
          </w:tcPr>
          <w:p>
            <w:pPr>
              <w:spacing w:after="40"/>
              <w:jc w:val="center"/>
            </w:pPr>
            <w:r>
              <w:rPr>
                <w:rFonts w:ascii="Georgia" w:hAnsi="Georgia"/>
                <w:b/>
                <w:color w:val="FFFFFF"/>
                <w:sz w:val="36"/>
              </w:rPr>
              <w:t>$147,000</w:t>
            </w:r>
          </w:p>
          <w:p>
            <w:pPr>
              <w:spacing w:before="0" w:after="0"/>
              <w:jc w:val="center"/>
            </w:pPr>
            <w:r>
              <w:rPr>
                <w:rFonts w:ascii="Georgia" w:hAnsi="Georgia"/>
                <w:b/>
                <w:color w:val="FFFFFF"/>
                <w:sz w:val="17"/>
              </w:rPr>
              <w:t>Base Annual Rental Income</w:t>
            </w:r>
          </w:p>
        </w:tc>
        <w:tc>
          <w:tcPr>
            <w:tcW w:type="dxa" w:w="3571"/>
            <w:vAlign w:val="center"/>
            <w:tcMar>
              <w:top w:w="110" w:type="dxa"/>
              <w:start w:w="100" w:type="dxa"/>
              <w:bottom w:w="110" w:type="dxa"/>
              <w:end w:w="100" w:type="dxa"/>
            </w:tcMar>
            <w:shd w:fill="17365D"/>
          </w:tcPr>
          <w:p>
            <w:pPr>
              <w:spacing w:after="40"/>
              <w:jc w:val="center"/>
            </w:pPr>
            <w:r>
              <w:rPr>
                <w:rFonts w:ascii="Georgia" w:hAnsi="Georgia"/>
                <w:b/>
                <w:color w:val="FFFFFF"/>
                <w:sz w:val="36"/>
              </w:rPr>
              <w:t>$142,531</w:t>
            </w:r>
          </w:p>
          <w:p>
            <w:pPr>
              <w:spacing w:before="0" w:after="0"/>
              <w:jc w:val="center"/>
            </w:pPr>
            <w:r>
              <w:rPr>
                <w:rFonts w:ascii="Georgia" w:hAnsi="Georgia"/>
                <w:b/>
                <w:color w:val="FFFFFF"/>
                <w:sz w:val="17"/>
              </w:rPr>
              <w:t>Effective Gross Income</w:t>
            </w:r>
          </w:p>
        </w:tc>
        <w:tc>
          <w:tcPr>
            <w:tcW w:type="dxa" w:w="3571"/>
            <w:vAlign w:val="center"/>
            <w:tcMar>
              <w:top w:w="110" w:type="dxa"/>
              <w:start w:w="100" w:type="dxa"/>
              <w:bottom w:w="110" w:type="dxa"/>
              <w:end w:w="100" w:type="dxa"/>
            </w:tcMar>
            <w:shd w:fill="17365D"/>
          </w:tcPr>
          <w:p>
            <w:pPr>
              <w:spacing w:after="40"/>
              <w:jc w:val="center"/>
            </w:pPr>
            <w:r>
              <w:rPr>
                <w:rFonts w:ascii="Georgia" w:hAnsi="Georgia"/>
                <w:b/>
                <w:color w:val="FFFFFF"/>
                <w:sz w:val="36"/>
              </w:rPr>
              <w:t>$108,792</w:t>
            </w:r>
          </w:p>
          <w:p>
            <w:pPr>
              <w:spacing w:before="0" w:after="0"/>
              <w:jc w:val="center"/>
            </w:pPr>
            <w:r>
              <w:rPr>
                <w:rFonts w:ascii="Georgia" w:hAnsi="Georgia"/>
                <w:b/>
                <w:color w:val="FFFFFF"/>
                <w:sz w:val="17"/>
              </w:rPr>
              <w:t>Net Operating Income</w:t>
            </w:r>
          </w:p>
        </w:tc>
      </w:tr>
      <w:tr>
        <w:tc>
          <w:tcPr>
            <w:tcW w:type="dxa" w:w="3571"/>
            <w:vAlign w:val="center"/>
            <w:tcMar>
              <w:top w:w="110" w:type="dxa"/>
              <w:start w:w="100" w:type="dxa"/>
              <w:bottom w:w="110" w:type="dxa"/>
              <w:end w:w="100" w:type="dxa"/>
            </w:tcMar>
            <w:shd w:fill="E8EEF5"/>
          </w:tcPr>
          <w:p>
            <w:pPr>
              <w:spacing w:after="40"/>
              <w:jc w:val="center"/>
            </w:pPr>
            <w:r>
              <w:rPr>
                <w:rFonts w:ascii="Georgia" w:hAnsi="Georgia"/>
                <w:b/>
                <w:color w:val="17365D"/>
                <w:sz w:val="36"/>
              </w:rPr>
              <w:t>9.5%</w:t>
            </w:r>
          </w:p>
          <w:p>
            <w:pPr>
              <w:spacing w:before="0" w:after="0"/>
              <w:jc w:val="center"/>
            </w:pPr>
            <w:r>
              <w:rPr>
                <w:rFonts w:ascii="Georgia" w:hAnsi="Georgia"/>
                <w:b/>
                <w:color w:val="666666"/>
                <w:sz w:val="17"/>
              </w:rPr>
              <w:t>Selected Capitalization Rate</w:t>
            </w:r>
          </w:p>
        </w:tc>
        <w:tc>
          <w:tcPr>
            <w:tcW w:type="dxa" w:w="3571"/>
            <w:vAlign w:val="center"/>
            <w:tcMar>
              <w:top w:w="110" w:type="dxa"/>
              <w:start w:w="100" w:type="dxa"/>
              <w:bottom w:w="110" w:type="dxa"/>
              <w:end w:w="100" w:type="dxa"/>
            </w:tcMar>
            <w:shd w:fill="E8EEF5"/>
          </w:tcPr>
          <w:p>
            <w:pPr>
              <w:spacing w:after="40"/>
              <w:jc w:val="center"/>
            </w:pPr>
            <w:r>
              <w:rPr>
                <w:rFonts w:ascii="Georgia" w:hAnsi="Georgia"/>
                <w:b/>
                <w:color w:val="17365D"/>
                <w:sz w:val="36"/>
              </w:rPr>
              <w:t>$1,145,179</w:t>
            </w:r>
          </w:p>
          <w:p>
            <w:pPr>
              <w:spacing w:before="0" w:after="0"/>
              <w:jc w:val="center"/>
            </w:pPr>
            <w:r>
              <w:rPr>
                <w:rFonts w:ascii="Georgia" w:hAnsi="Georgia"/>
                <w:b/>
                <w:color w:val="666666"/>
                <w:sz w:val="17"/>
              </w:rPr>
              <w:t>Income Approach Value</w:t>
            </w:r>
          </w:p>
        </w:tc>
        <w:tc>
          <w:tcPr>
            <w:tcW w:type="dxa" w:w="3571"/>
            <w:vAlign w:val="center"/>
            <w:tcMar>
              <w:top w:w="110" w:type="dxa"/>
              <w:start w:w="100" w:type="dxa"/>
              <w:bottom w:w="110" w:type="dxa"/>
              <w:end w:w="100" w:type="dxa"/>
            </w:tcMar>
            <w:shd w:fill="E8EEF5"/>
          </w:tcPr>
          <w:p>
            <w:pPr>
              <w:spacing w:after="40"/>
              <w:jc w:val="center"/>
            </w:pPr>
            <w:r>
              <w:rPr>
                <w:rFonts w:ascii="Georgia" w:hAnsi="Georgia"/>
                <w:b/>
                <w:color w:val="17365D"/>
                <w:sz w:val="36"/>
              </w:rPr>
              <w:t>9.9%</w:t>
            </w:r>
          </w:p>
          <w:p>
            <w:pPr>
              <w:spacing w:before="0" w:after="0"/>
              <w:jc w:val="center"/>
            </w:pPr>
            <w:r>
              <w:rPr>
                <w:rFonts w:ascii="Georgia" w:hAnsi="Georgia"/>
                <w:b/>
                <w:color w:val="666666"/>
                <w:sz w:val="17"/>
              </w:rPr>
              <w:t>Cap Rate at $1.10M Ask</w:t>
            </w:r>
          </w:p>
        </w:tc>
      </w:tr>
    </w:tbl>
    <w:p>
      <w:pPr>
        <w:spacing w:before="200" w:after="80"/>
      </w:pPr>
      <w:r>
        <w:rPr>
          <w:rFonts w:ascii="Georgia" w:hAnsi="Georgia"/>
          <w:b/>
          <w:color w:val="365F91"/>
          <w:sz w:val="32"/>
        </w:rPr>
        <w:t>INCOME APPROACH TO VALUE</w:t>
      </w:r>
    </w:p>
    <w:tbl>
      <w:tblPr>
        <w:tblW w:type="auto" w:w="0"/>
        <w:jc w:val="center"/>
        <w:tblLayout w:type="fixed"/>
        <w:tblLook w:firstColumn="1" w:firstRow="1" w:lastColumn="0" w:lastRow="0" w:noHBand="0" w:noVBand="1" w:val="04A0"/>
      </w:tblPr>
      <w:tblGrid>
        <w:gridCol w:w="5573"/>
        <w:gridCol w:w="5573"/>
      </w:tblGrid>
      <w:tr>
        <w:tc>
          <w:tcPr>
            <w:tcW w:type="dxa" w:w="8136"/>
            <w:vAlign w:val="center"/>
            <w:tcMar>
              <w:top w:w="55" w:type="dxa"/>
              <w:start w:w="90" w:type="dxa"/>
              <w:bottom w:w="55" w:type="dxa"/>
              <w:end w:w="90" w:type="dxa"/>
            </w:tcMar>
            <w:tcBorders>
              <w:bottom w:val="single" w:sz="4" w:color="D9E1EA"/>
            </w:tcBorders>
            <w:shd w:fill="17365D"/>
          </w:tcPr>
          <w:p>
            <w:pPr>
              <w:spacing w:after="0"/>
            </w:pPr>
            <w:r>
              <w:rPr>
                <w:rFonts w:ascii="Georgia" w:hAnsi="Georgia"/>
                <w:b/>
                <w:color w:val="FFFFFF"/>
                <w:sz w:val="20"/>
              </w:rPr>
              <w:t>INCOME</w:t>
            </w:r>
          </w:p>
        </w:tc>
        <w:tc>
          <w:tcPr>
            <w:tcW w:type="dxa" w:w="2520"/>
            <w:vAlign w:val="center"/>
            <w:tcMar>
              <w:top w:w="55" w:type="dxa"/>
              <w:start w:w="90" w:type="dxa"/>
              <w:bottom w:w="55" w:type="dxa"/>
              <w:end w:w="90" w:type="dxa"/>
            </w:tcMar>
            <w:tcBorders>
              <w:bottom w:val="single" w:sz="4" w:color="D9E1EA"/>
            </w:tcBorders>
            <w:shd w:fill="17365D"/>
          </w:tcPr>
          <w:p/>
        </w:tc>
      </w:tr>
      <w:tr>
        <w:tc>
          <w:tcPr>
            <w:tcW w:type="dxa" w:w="8136"/>
            <w:vAlign w:val="center"/>
            <w:tcMar>
              <w:top w:w="55" w:type="dxa"/>
              <w:start w:w="90" w:type="dxa"/>
              <w:bottom w:w="55" w:type="dxa"/>
              <w:end w:w="90" w:type="dxa"/>
            </w:tcMar>
            <w:tcBorders>
              <w:bottom w:val="single" w:sz="4" w:color="D9E1EA"/>
            </w:tcBorders>
          </w:tcPr>
          <w:p>
            <w:pPr>
              <w:spacing w:after="0"/>
            </w:pPr>
            <w:r>
              <w:rPr>
                <w:rFonts w:ascii="Georgia" w:hAnsi="Georgia"/>
                <w:b w:val="0"/>
                <w:color w:val="222222"/>
                <w:sz w:val="18"/>
              </w:rPr>
              <w:t>10 Park-Owned Mobile Homes + 1 Stick-Built Home + 2 Leased Mobile Home Spaces</w:t>
            </w:r>
          </w:p>
        </w:tc>
        <w:tc>
          <w:tcPr>
            <w:tcW w:type="dxa" w:w="2520"/>
            <w:vAlign w:val="center"/>
            <w:tcMar>
              <w:top w:w="55" w:type="dxa"/>
              <w:start w:w="90" w:type="dxa"/>
              <w:bottom w:w="55" w:type="dxa"/>
              <w:end w:w="90" w:type="dxa"/>
            </w:tcMar>
            <w:tcBorders>
              <w:bottom w:val="single" w:sz="4" w:color="D9E1EA"/>
            </w:tcBorders>
          </w:tcPr>
          <w:p>
            <w:pPr>
              <w:spacing w:after="0"/>
              <w:jc w:val="right"/>
            </w:pPr>
            <w:r>
              <w:rPr>
                <w:rFonts w:ascii="Georgia" w:hAnsi="Georgia"/>
                <w:b/>
                <w:color w:val="222222"/>
                <w:sz w:val="19"/>
              </w:rPr>
              <w:t>$147,000</w:t>
            </w:r>
          </w:p>
        </w:tc>
      </w:tr>
      <w:tr>
        <w:tc>
          <w:tcPr>
            <w:tcW w:type="dxa" w:w="8136"/>
            <w:vAlign w:val="center"/>
            <w:tcMar>
              <w:top w:w="55" w:type="dxa"/>
              <w:start w:w="90" w:type="dxa"/>
              <w:bottom w:w="55" w:type="dxa"/>
              <w:end w:w="90" w:type="dxa"/>
            </w:tcMar>
            <w:tcBorders>
              <w:bottom w:val="single" w:sz="4" w:color="D9E1EA"/>
            </w:tcBorders>
          </w:tcPr>
          <w:p>
            <w:pPr>
              <w:spacing w:after="0"/>
            </w:pPr>
            <w:r>
              <w:rPr>
                <w:rFonts w:ascii="Georgia" w:hAnsi="Georgia"/>
                <w:b w:val="0"/>
                <w:color w:val="222222"/>
                <w:sz w:val="18"/>
              </w:rPr>
              <w:t>Other Income - 1% (late fees, laundry, etc.)</w:t>
            </w:r>
          </w:p>
        </w:tc>
        <w:tc>
          <w:tcPr>
            <w:tcW w:type="dxa" w:w="2520"/>
            <w:vAlign w:val="center"/>
            <w:tcMar>
              <w:top w:w="55" w:type="dxa"/>
              <w:start w:w="90" w:type="dxa"/>
              <w:bottom w:w="55" w:type="dxa"/>
              <w:end w:w="90" w:type="dxa"/>
            </w:tcMar>
            <w:tcBorders>
              <w:bottom w:val="single" w:sz="4" w:color="D9E1EA"/>
            </w:tcBorders>
          </w:tcPr>
          <w:p>
            <w:pPr>
              <w:spacing w:after="0"/>
              <w:jc w:val="right"/>
            </w:pPr>
            <w:r>
              <w:rPr>
                <w:rFonts w:ascii="Georgia" w:hAnsi="Georgia"/>
                <w:b/>
                <w:color w:val="222222"/>
                <w:sz w:val="19"/>
              </w:rPr>
              <w:t>$1,470</w:t>
            </w:r>
          </w:p>
        </w:tc>
      </w:tr>
      <w:tr>
        <w:tc>
          <w:tcPr>
            <w:tcW w:type="dxa" w:w="8136"/>
            <w:vAlign w:val="center"/>
            <w:tcMar>
              <w:top w:w="55" w:type="dxa"/>
              <w:start w:w="90" w:type="dxa"/>
              <w:bottom w:w="55" w:type="dxa"/>
              <w:end w:w="90" w:type="dxa"/>
            </w:tcMar>
            <w:tcBorders>
              <w:bottom w:val="single" w:sz="4" w:color="D9E1EA"/>
            </w:tcBorders>
          </w:tcPr>
          <w:p>
            <w:pPr>
              <w:spacing w:after="0"/>
            </w:pPr>
            <w:r>
              <w:rPr>
                <w:rFonts w:ascii="Georgia" w:hAnsi="Georgia"/>
                <w:b w:val="0"/>
                <w:color w:val="222222"/>
                <w:sz w:val="18"/>
              </w:rPr>
              <w:t>Adjusted Gross Income</w:t>
            </w:r>
          </w:p>
        </w:tc>
        <w:tc>
          <w:tcPr>
            <w:tcW w:type="dxa" w:w="2520"/>
            <w:vAlign w:val="center"/>
            <w:tcMar>
              <w:top w:w="55" w:type="dxa"/>
              <w:start w:w="90" w:type="dxa"/>
              <w:bottom w:w="55" w:type="dxa"/>
              <w:end w:w="90" w:type="dxa"/>
            </w:tcMar>
            <w:tcBorders>
              <w:bottom w:val="single" w:sz="4" w:color="D9E1EA"/>
            </w:tcBorders>
          </w:tcPr>
          <w:p>
            <w:pPr>
              <w:spacing w:after="0"/>
              <w:jc w:val="right"/>
            </w:pPr>
            <w:r>
              <w:rPr>
                <w:rFonts w:ascii="Georgia" w:hAnsi="Georgia"/>
                <w:b/>
                <w:color w:val="222222"/>
                <w:sz w:val="19"/>
              </w:rPr>
              <w:t>$148,470</w:t>
            </w:r>
          </w:p>
        </w:tc>
      </w:tr>
      <w:tr>
        <w:tc>
          <w:tcPr>
            <w:tcW w:type="dxa" w:w="8136"/>
            <w:vAlign w:val="center"/>
            <w:tcMar>
              <w:top w:w="55" w:type="dxa"/>
              <w:start w:w="90" w:type="dxa"/>
              <w:bottom w:w="55" w:type="dxa"/>
              <w:end w:w="90" w:type="dxa"/>
            </w:tcMar>
            <w:tcBorders>
              <w:bottom w:val="single" w:sz="4" w:color="D9E1EA"/>
            </w:tcBorders>
          </w:tcPr>
          <w:p>
            <w:pPr>
              <w:spacing w:after="0"/>
            </w:pPr>
            <w:r>
              <w:rPr>
                <w:rFonts w:ascii="Georgia" w:hAnsi="Georgia"/>
                <w:b w:val="0"/>
                <w:color w:val="222222"/>
                <w:sz w:val="18"/>
              </w:rPr>
              <w:t>Monthly Adjusted Gross Income</w:t>
            </w:r>
          </w:p>
        </w:tc>
        <w:tc>
          <w:tcPr>
            <w:tcW w:type="dxa" w:w="2520"/>
            <w:vAlign w:val="center"/>
            <w:tcMar>
              <w:top w:w="55" w:type="dxa"/>
              <w:start w:w="90" w:type="dxa"/>
              <w:bottom w:w="55" w:type="dxa"/>
              <w:end w:w="90" w:type="dxa"/>
            </w:tcMar>
            <w:tcBorders>
              <w:bottom w:val="single" w:sz="4" w:color="D9E1EA"/>
            </w:tcBorders>
          </w:tcPr>
          <w:p>
            <w:pPr>
              <w:spacing w:after="0"/>
              <w:jc w:val="right"/>
            </w:pPr>
            <w:r>
              <w:rPr>
                <w:rFonts w:ascii="Georgia" w:hAnsi="Georgia"/>
                <w:b/>
                <w:color w:val="222222"/>
                <w:sz w:val="19"/>
              </w:rPr>
              <w:t>$12,373</w:t>
            </w:r>
          </w:p>
        </w:tc>
      </w:tr>
      <w:tr>
        <w:tc>
          <w:tcPr>
            <w:tcW w:type="dxa" w:w="8136"/>
            <w:vAlign w:val="center"/>
            <w:tcMar>
              <w:top w:w="55" w:type="dxa"/>
              <w:start w:w="90" w:type="dxa"/>
              <w:bottom w:w="55" w:type="dxa"/>
              <w:end w:w="90" w:type="dxa"/>
            </w:tcMar>
            <w:tcBorders>
              <w:bottom w:val="single" w:sz="4" w:color="D9E1EA"/>
            </w:tcBorders>
          </w:tcPr>
          <w:p>
            <w:pPr>
              <w:spacing w:after="0"/>
            </w:pPr>
            <w:r>
              <w:rPr>
                <w:rFonts w:ascii="Georgia" w:hAnsi="Georgia"/>
                <w:b w:val="0"/>
                <w:color w:val="222222"/>
                <w:sz w:val="18"/>
              </w:rPr>
              <w:t>Less: Vacancy Factor - 4%</w:t>
            </w:r>
          </w:p>
        </w:tc>
        <w:tc>
          <w:tcPr>
            <w:tcW w:type="dxa" w:w="2520"/>
            <w:vAlign w:val="center"/>
            <w:tcMar>
              <w:top w:w="55" w:type="dxa"/>
              <w:start w:w="90" w:type="dxa"/>
              <w:bottom w:w="55" w:type="dxa"/>
              <w:end w:w="90" w:type="dxa"/>
            </w:tcMar>
            <w:tcBorders>
              <w:bottom w:val="single" w:sz="4" w:color="D9E1EA"/>
            </w:tcBorders>
          </w:tcPr>
          <w:p>
            <w:pPr>
              <w:spacing w:after="0"/>
              <w:jc w:val="right"/>
            </w:pPr>
            <w:r>
              <w:rPr>
                <w:rFonts w:ascii="Georgia" w:hAnsi="Georgia"/>
                <w:b/>
                <w:color w:val="222222"/>
                <w:sz w:val="19"/>
              </w:rPr>
              <w:t>($5,939)</w:t>
            </w:r>
          </w:p>
        </w:tc>
      </w:tr>
      <w:tr>
        <w:tc>
          <w:tcPr>
            <w:tcW w:type="dxa" w:w="8136"/>
            <w:vAlign w:val="center"/>
            <w:tcMar>
              <w:top w:w="55" w:type="dxa"/>
              <w:start w:w="90" w:type="dxa"/>
              <w:bottom w:w="55" w:type="dxa"/>
              <w:end w:w="90" w:type="dxa"/>
            </w:tcMar>
            <w:tcBorders>
              <w:bottom w:val="single" w:sz="4" w:color="D9E1EA"/>
            </w:tcBorders>
            <w:shd w:fill="E8EEF5"/>
          </w:tcPr>
          <w:p>
            <w:pPr>
              <w:spacing w:after="0"/>
            </w:pPr>
            <w:r>
              <w:rPr>
                <w:rFonts w:ascii="Georgia" w:hAnsi="Georgia"/>
                <w:b/>
                <w:color w:val="17365D"/>
                <w:sz w:val="18"/>
              </w:rPr>
              <w:t>EFFECTIVE GROSS INCOME</w:t>
            </w:r>
          </w:p>
        </w:tc>
        <w:tc>
          <w:tcPr>
            <w:tcW w:type="dxa" w:w="2520"/>
            <w:vAlign w:val="center"/>
            <w:tcMar>
              <w:top w:w="55" w:type="dxa"/>
              <w:start w:w="90" w:type="dxa"/>
              <w:bottom w:w="55" w:type="dxa"/>
              <w:end w:w="90" w:type="dxa"/>
            </w:tcMar>
            <w:tcBorders>
              <w:bottom w:val="single" w:sz="4" w:color="D9E1EA"/>
            </w:tcBorders>
            <w:shd w:fill="E8EEF5"/>
          </w:tcPr>
          <w:p>
            <w:pPr>
              <w:spacing w:after="0"/>
              <w:jc w:val="right"/>
            </w:pPr>
            <w:r>
              <w:rPr>
                <w:rFonts w:ascii="Georgia" w:hAnsi="Georgia"/>
                <w:b/>
                <w:color w:val="17365D"/>
                <w:sz w:val="19"/>
              </w:rPr>
              <w:t>$142,531</w:t>
            </w:r>
          </w:p>
        </w:tc>
      </w:tr>
      <w:tr>
        <w:tc>
          <w:tcPr>
            <w:tcW w:type="dxa" w:w="8136"/>
            <w:vAlign w:val="center"/>
            <w:tcMar>
              <w:top w:w="55" w:type="dxa"/>
              <w:start w:w="90" w:type="dxa"/>
              <w:bottom w:w="55" w:type="dxa"/>
              <w:end w:w="90" w:type="dxa"/>
            </w:tcMar>
            <w:tcBorders>
              <w:bottom w:val="single" w:sz="4" w:color="D9E1EA"/>
            </w:tcBorders>
            <w:shd w:fill="17365D"/>
          </w:tcPr>
          <w:p>
            <w:pPr>
              <w:spacing w:after="0"/>
            </w:pPr>
            <w:r>
              <w:rPr>
                <w:rFonts w:ascii="Georgia" w:hAnsi="Georgia"/>
                <w:b/>
                <w:color w:val="FFFFFF"/>
                <w:sz w:val="20"/>
              </w:rPr>
              <w:t>OPERATING EXPENSES</w:t>
            </w:r>
          </w:p>
        </w:tc>
        <w:tc>
          <w:tcPr>
            <w:tcW w:type="dxa" w:w="2520"/>
            <w:vAlign w:val="center"/>
            <w:tcMar>
              <w:top w:w="55" w:type="dxa"/>
              <w:start w:w="90" w:type="dxa"/>
              <w:bottom w:w="55" w:type="dxa"/>
              <w:end w:w="90" w:type="dxa"/>
            </w:tcMar>
            <w:tcBorders>
              <w:bottom w:val="single" w:sz="4" w:color="D9E1EA"/>
            </w:tcBorders>
            <w:shd w:fill="17365D"/>
          </w:tcPr>
          <w:p/>
        </w:tc>
      </w:tr>
      <w:tr>
        <w:tc>
          <w:tcPr>
            <w:tcW w:type="dxa" w:w="8136"/>
            <w:vAlign w:val="center"/>
            <w:tcMar>
              <w:top w:w="55" w:type="dxa"/>
              <w:start w:w="90" w:type="dxa"/>
              <w:bottom w:w="55" w:type="dxa"/>
              <w:end w:w="90" w:type="dxa"/>
            </w:tcMar>
            <w:tcBorders>
              <w:bottom w:val="single" w:sz="4" w:color="D9E1EA"/>
            </w:tcBorders>
          </w:tcPr>
          <w:p>
            <w:pPr>
              <w:spacing w:after="0"/>
            </w:pPr>
            <w:r>
              <w:rPr>
                <w:rFonts w:ascii="Georgia" w:hAnsi="Georgia"/>
                <w:b w:val="0"/>
                <w:color w:val="222222"/>
                <w:sz w:val="18"/>
              </w:rPr>
              <w:t>Real Estate Taxes</w:t>
            </w:r>
          </w:p>
        </w:tc>
        <w:tc>
          <w:tcPr>
            <w:tcW w:type="dxa" w:w="2520"/>
            <w:vAlign w:val="center"/>
            <w:tcMar>
              <w:top w:w="55" w:type="dxa"/>
              <w:start w:w="90" w:type="dxa"/>
              <w:bottom w:w="55" w:type="dxa"/>
              <w:end w:w="90" w:type="dxa"/>
            </w:tcMar>
            <w:tcBorders>
              <w:bottom w:val="single" w:sz="4" w:color="D9E1EA"/>
            </w:tcBorders>
          </w:tcPr>
          <w:p>
            <w:pPr>
              <w:spacing w:after="0"/>
              <w:jc w:val="right"/>
            </w:pPr>
            <w:r>
              <w:rPr>
                <w:rFonts w:ascii="Georgia" w:hAnsi="Georgia"/>
                <w:b/>
                <w:color w:val="222222"/>
                <w:sz w:val="19"/>
              </w:rPr>
              <w:t>$3,162</w:t>
            </w:r>
          </w:p>
        </w:tc>
      </w:tr>
      <w:tr>
        <w:tc>
          <w:tcPr>
            <w:tcW w:type="dxa" w:w="8136"/>
            <w:vAlign w:val="center"/>
            <w:tcMar>
              <w:top w:w="55" w:type="dxa"/>
              <w:start w:w="90" w:type="dxa"/>
              <w:bottom w:w="55" w:type="dxa"/>
              <w:end w:w="90" w:type="dxa"/>
            </w:tcMar>
            <w:tcBorders>
              <w:bottom w:val="single" w:sz="4" w:color="D9E1EA"/>
            </w:tcBorders>
          </w:tcPr>
          <w:p>
            <w:pPr>
              <w:spacing w:after="0"/>
            </w:pPr>
            <w:r>
              <w:rPr>
                <w:rFonts w:ascii="Georgia" w:hAnsi="Georgia"/>
                <w:b w:val="0"/>
                <w:color w:val="222222"/>
                <w:sz w:val="18"/>
              </w:rPr>
              <w:t>Insurance - Estimated 2026</w:t>
            </w:r>
          </w:p>
        </w:tc>
        <w:tc>
          <w:tcPr>
            <w:tcW w:type="dxa" w:w="2520"/>
            <w:vAlign w:val="center"/>
            <w:tcMar>
              <w:top w:w="55" w:type="dxa"/>
              <w:start w:w="90" w:type="dxa"/>
              <w:bottom w:w="55" w:type="dxa"/>
              <w:end w:w="90" w:type="dxa"/>
            </w:tcMar>
            <w:tcBorders>
              <w:bottom w:val="single" w:sz="4" w:color="D9E1EA"/>
            </w:tcBorders>
          </w:tcPr>
          <w:p>
            <w:pPr>
              <w:spacing w:after="0"/>
              <w:jc w:val="right"/>
            </w:pPr>
            <w:r>
              <w:rPr>
                <w:rFonts w:ascii="Georgia" w:hAnsi="Georgia"/>
                <w:b/>
                <w:color w:val="222222"/>
                <w:sz w:val="19"/>
              </w:rPr>
              <w:t>$4,100</w:t>
            </w:r>
          </w:p>
        </w:tc>
      </w:tr>
      <w:tr>
        <w:tc>
          <w:tcPr>
            <w:tcW w:type="dxa" w:w="8136"/>
            <w:vAlign w:val="center"/>
            <w:tcMar>
              <w:top w:w="55" w:type="dxa"/>
              <w:start w:w="90" w:type="dxa"/>
              <w:bottom w:w="55" w:type="dxa"/>
              <w:end w:w="90" w:type="dxa"/>
            </w:tcMar>
            <w:tcBorders>
              <w:bottom w:val="single" w:sz="4" w:color="D9E1EA"/>
            </w:tcBorders>
          </w:tcPr>
          <w:p>
            <w:pPr>
              <w:spacing w:after="0"/>
            </w:pPr>
            <w:r>
              <w:rPr>
                <w:rFonts w:ascii="Georgia" w:hAnsi="Georgia"/>
                <w:b w:val="0"/>
                <w:color w:val="222222"/>
                <w:sz w:val="18"/>
              </w:rPr>
              <w:t>Repairs / Maintenance - 2%</w:t>
            </w:r>
          </w:p>
        </w:tc>
        <w:tc>
          <w:tcPr>
            <w:tcW w:type="dxa" w:w="2520"/>
            <w:vAlign w:val="center"/>
            <w:tcMar>
              <w:top w:w="55" w:type="dxa"/>
              <w:start w:w="90" w:type="dxa"/>
              <w:bottom w:w="55" w:type="dxa"/>
              <w:end w:w="90" w:type="dxa"/>
            </w:tcMar>
            <w:tcBorders>
              <w:bottom w:val="single" w:sz="4" w:color="D9E1EA"/>
            </w:tcBorders>
          </w:tcPr>
          <w:p>
            <w:pPr>
              <w:spacing w:after="0"/>
              <w:jc w:val="right"/>
            </w:pPr>
            <w:r>
              <w:rPr>
                <w:rFonts w:ascii="Georgia" w:hAnsi="Georgia"/>
                <w:b/>
                <w:color w:val="222222"/>
                <w:sz w:val="19"/>
              </w:rPr>
              <w:t>$2,851</w:t>
            </w:r>
          </w:p>
        </w:tc>
      </w:tr>
      <w:tr>
        <w:tc>
          <w:tcPr>
            <w:tcW w:type="dxa" w:w="8136"/>
            <w:vAlign w:val="center"/>
            <w:tcMar>
              <w:top w:w="55" w:type="dxa"/>
              <w:start w:w="90" w:type="dxa"/>
              <w:bottom w:w="55" w:type="dxa"/>
              <w:end w:w="90" w:type="dxa"/>
            </w:tcMar>
            <w:tcBorders>
              <w:bottom w:val="single" w:sz="4" w:color="D9E1EA"/>
            </w:tcBorders>
          </w:tcPr>
          <w:p>
            <w:pPr>
              <w:spacing w:after="0"/>
              <w:jc w:val="left"/>
            </w:pPr>
            <w:r>
              <w:rPr>
                <w:rFonts w:ascii="Georgia" w:hAnsi="Georgia"/>
                <w:b w:val="0"/>
                <w:color w:val="222222"/>
                <w:sz w:val="18"/>
              </w:rPr>
              <w:t>Water / Sewer - Estimated 2026</w:t>
            </w:r>
          </w:p>
        </w:tc>
        <w:tc>
          <w:tcPr>
            <w:tcW w:type="dxa" w:w="2520"/>
            <w:vAlign w:val="center"/>
            <w:tcMar>
              <w:top w:w="55" w:type="dxa"/>
              <w:start w:w="90" w:type="dxa"/>
              <w:bottom w:w="55" w:type="dxa"/>
              <w:end w:w="90" w:type="dxa"/>
            </w:tcMar>
            <w:tcBorders>
              <w:bottom w:val="single" w:sz="4" w:color="D9E1EA"/>
            </w:tcBorders>
          </w:tcPr>
          <w:p>
            <w:pPr>
              <w:jc w:val="right"/>
            </w:pPr>
            <w:r>
              <w:rPr>
                <w:b/>
              </w:rPr>
              <w:t>$12,100</w:t>
            </w:r>
          </w:p>
        </w:tc>
      </w:tr>
      <w:tr>
        <w:tc>
          <w:tcPr>
            <w:tcW w:type="dxa" w:w="8136"/>
            <w:vAlign w:val="center"/>
            <w:tcMar>
              <w:top w:w="55" w:type="dxa"/>
              <w:start w:w="90" w:type="dxa"/>
              <w:bottom w:w="55" w:type="dxa"/>
              <w:end w:w="90" w:type="dxa"/>
            </w:tcMar>
            <w:tcBorders>
              <w:bottom w:val="single" w:sz="4" w:color="D9E1EA"/>
            </w:tcBorders>
          </w:tcPr>
          <w:p>
            <w:pPr>
              <w:jc w:val="left"/>
            </w:pPr>
            <w:r>
              <w:t>Landscaping / Snow Removal - Estimated 2026</w:t>
            </w:r>
          </w:p>
        </w:tc>
        <w:tc>
          <w:tcPr>
            <w:tcW w:type="dxa" w:w="2520"/>
            <w:vAlign w:val="center"/>
            <w:tcMar>
              <w:top w:w="55" w:type="dxa"/>
              <w:start w:w="90" w:type="dxa"/>
              <w:bottom w:w="55" w:type="dxa"/>
              <w:end w:w="90" w:type="dxa"/>
            </w:tcMar>
            <w:tcBorders>
              <w:bottom w:val="single" w:sz="4" w:color="D9E1EA"/>
            </w:tcBorders>
          </w:tcPr>
          <w:p>
            <w:pPr>
              <w:jc w:val="right"/>
            </w:pPr>
            <w:r>
              <w:rPr>
                <w:b/>
              </w:rPr>
              <w:t>$4,400</w:t>
            </w:r>
          </w:p>
        </w:tc>
      </w:tr>
      <w:tr>
        <w:tc>
          <w:tcPr>
            <w:tcW w:type="dxa" w:w="8136"/>
            <w:vAlign w:val="center"/>
            <w:tcMar>
              <w:top w:w="55" w:type="dxa"/>
              <w:start w:w="90" w:type="dxa"/>
              <w:bottom w:w="55" w:type="dxa"/>
              <w:end w:w="90" w:type="dxa"/>
            </w:tcMar>
            <w:tcBorders>
              <w:bottom w:val="single" w:sz="4" w:color="D9E1EA"/>
            </w:tcBorders>
          </w:tcPr>
          <w:p>
            <w:pPr>
              <w:spacing w:after="0"/>
            </w:pPr>
            <w:r>
              <w:rPr>
                <w:rFonts w:ascii="Georgia" w:hAnsi="Georgia"/>
                <w:b w:val="0"/>
                <w:color w:val="222222"/>
                <w:sz w:val="18"/>
              </w:rPr>
              <w:t>Management / Administration - 4%</w:t>
            </w:r>
          </w:p>
        </w:tc>
        <w:tc>
          <w:tcPr>
            <w:tcW w:type="dxa" w:w="2520"/>
            <w:vAlign w:val="center"/>
            <w:tcMar>
              <w:top w:w="55" w:type="dxa"/>
              <w:start w:w="90" w:type="dxa"/>
              <w:bottom w:w="55" w:type="dxa"/>
              <w:end w:w="90" w:type="dxa"/>
            </w:tcMar>
            <w:tcBorders>
              <w:bottom w:val="single" w:sz="4" w:color="D9E1EA"/>
            </w:tcBorders>
          </w:tcPr>
          <w:p>
            <w:pPr>
              <w:spacing w:after="0"/>
              <w:jc w:val="right"/>
            </w:pPr>
            <w:r>
              <w:rPr>
                <w:rFonts w:ascii="Georgia" w:hAnsi="Georgia"/>
                <w:b/>
                <w:color w:val="222222"/>
                <w:sz w:val="19"/>
              </w:rPr>
              <w:t>$5,701</w:t>
            </w:r>
          </w:p>
        </w:tc>
      </w:tr>
      <w:tr>
        <w:tc>
          <w:tcPr>
            <w:tcW w:type="dxa" w:w="8136"/>
            <w:vAlign w:val="center"/>
            <w:tcMar>
              <w:top w:w="55" w:type="dxa"/>
              <w:start w:w="90" w:type="dxa"/>
              <w:bottom w:w="55" w:type="dxa"/>
              <w:end w:w="90" w:type="dxa"/>
            </w:tcMar>
            <w:tcBorders>
              <w:bottom w:val="single" w:sz="4" w:color="D9E1EA"/>
            </w:tcBorders>
          </w:tcPr>
          <w:p>
            <w:pPr>
              <w:spacing w:after="0"/>
            </w:pPr>
            <w:r>
              <w:rPr>
                <w:rFonts w:ascii="Georgia" w:hAnsi="Georgia"/>
                <w:b w:val="0"/>
                <w:color w:val="222222"/>
                <w:sz w:val="18"/>
              </w:rPr>
              <w:t>Reserves - 1%</w:t>
            </w:r>
          </w:p>
        </w:tc>
        <w:tc>
          <w:tcPr>
            <w:tcW w:type="dxa" w:w="2520"/>
            <w:vAlign w:val="center"/>
            <w:tcMar>
              <w:top w:w="55" w:type="dxa"/>
              <w:start w:w="90" w:type="dxa"/>
              <w:bottom w:w="55" w:type="dxa"/>
              <w:end w:w="90" w:type="dxa"/>
            </w:tcMar>
            <w:tcBorders>
              <w:bottom w:val="single" w:sz="4" w:color="D9E1EA"/>
            </w:tcBorders>
          </w:tcPr>
          <w:p>
            <w:pPr>
              <w:spacing w:after="0"/>
              <w:jc w:val="right"/>
            </w:pPr>
            <w:r>
              <w:rPr>
                <w:rFonts w:ascii="Georgia" w:hAnsi="Georgia"/>
                <w:b/>
                <w:color w:val="222222"/>
                <w:sz w:val="19"/>
              </w:rPr>
              <w:t>$1,425</w:t>
            </w:r>
          </w:p>
        </w:tc>
      </w:tr>
      <w:tr>
        <w:tc>
          <w:tcPr>
            <w:tcW w:type="dxa" w:w="8136"/>
            <w:vAlign w:val="center"/>
            <w:tcMar>
              <w:top w:w="55" w:type="dxa"/>
              <w:start w:w="90" w:type="dxa"/>
              <w:bottom w:w="55" w:type="dxa"/>
              <w:end w:w="90" w:type="dxa"/>
            </w:tcMar>
            <w:tcBorders>
              <w:bottom w:val="single" w:sz="4" w:color="D9E1EA"/>
            </w:tcBorders>
          </w:tcPr>
          <w:p>
            <w:pPr>
              <w:spacing w:after="0"/>
            </w:pPr>
            <w:r>
              <w:rPr>
                <w:rFonts w:ascii="Georgia" w:hAnsi="Georgia"/>
                <w:b/>
                <w:color w:val="222222"/>
                <w:sz w:val="18"/>
              </w:rPr>
              <w:t>TOTAL OPERATING EXPENSES - 23.7% OF EGI</w:t>
            </w:r>
          </w:p>
        </w:tc>
        <w:tc>
          <w:tcPr>
            <w:tcW w:type="dxa" w:w="2520"/>
            <w:vAlign w:val="center"/>
            <w:tcMar>
              <w:top w:w="55" w:type="dxa"/>
              <w:start w:w="90" w:type="dxa"/>
              <w:bottom w:w="55" w:type="dxa"/>
              <w:end w:w="90" w:type="dxa"/>
            </w:tcMar>
            <w:tcBorders>
              <w:bottom w:val="single" w:sz="4" w:color="D9E1EA"/>
            </w:tcBorders>
          </w:tcPr>
          <w:p>
            <w:pPr>
              <w:spacing w:after="0"/>
              <w:jc w:val="right"/>
            </w:pPr>
            <w:r>
              <w:rPr>
                <w:rFonts w:ascii="Georgia" w:hAnsi="Georgia"/>
                <w:b/>
                <w:color w:val="222222"/>
                <w:sz w:val="19"/>
              </w:rPr>
              <w:t>$33,739</w:t>
            </w:r>
          </w:p>
        </w:tc>
      </w:tr>
      <w:tr>
        <w:tc>
          <w:tcPr>
            <w:tcW w:type="dxa" w:w="8136"/>
            <w:vAlign w:val="center"/>
            <w:tcMar>
              <w:top w:w="55" w:type="dxa"/>
              <w:start w:w="90" w:type="dxa"/>
              <w:bottom w:w="55" w:type="dxa"/>
              <w:end w:w="90" w:type="dxa"/>
            </w:tcMar>
            <w:tcBorders>
              <w:bottom w:val="single" w:sz="4" w:color="D9E1EA"/>
            </w:tcBorders>
            <w:shd w:fill="E8EEF5"/>
          </w:tcPr>
          <w:p>
            <w:pPr>
              <w:spacing w:after="0"/>
            </w:pPr>
            <w:r>
              <w:rPr>
                <w:rFonts w:ascii="Georgia" w:hAnsi="Georgia"/>
                <w:b/>
                <w:color w:val="17365D"/>
                <w:sz w:val="18"/>
              </w:rPr>
              <w:t>NET OPERATING INCOME</w:t>
            </w:r>
          </w:p>
        </w:tc>
        <w:tc>
          <w:tcPr>
            <w:tcW w:type="dxa" w:w="2520"/>
            <w:vAlign w:val="center"/>
            <w:tcMar>
              <w:top w:w="55" w:type="dxa"/>
              <w:start w:w="90" w:type="dxa"/>
              <w:bottom w:w="55" w:type="dxa"/>
              <w:end w:w="90" w:type="dxa"/>
            </w:tcMar>
            <w:tcBorders>
              <w:bottom w:val="single" w:sz="4" w:color="D9E1EA"/>
            </w:tcBorders>
            <w:shd w:fill="E8EEF5"/>
          </w:tcPr>
          <w:p>
            <w:pPr>
              <w:spacing w:after="0"/>
              <w:jc w:val="right"/>
            </w:pPr>
            <w:r>
              <w:rPr>
                <w:rFonts w:ascii="Georgia" w:hAnsi="Georgia"/>
                <w:b/>
                <w:color w:val="17365D"/>
                <w:sz w:val="19"/>
              </w:rPr>
              <w:t>$108,792</w:t>
            </w:r>
          </w:p>
        </w:tc>
      </w:tr>
      <w:tr>
        <w:tc>
          <w:tcPr>
            <w:tcW w:type="dxa" w:w="8136"/>
            <w:vAlign w:val="center"/>
            <w:tcMar>
              <w:top w:w="55" w:type="dxa"/>
              <w:start w:w="90" w:type="dxa"/>
              <w:bottom w:w="55" w:type="dxa"/>
              <w:end w:w="90" w:type="dxa"/>
            </w:tcMar>
            <w:tcBorders>
              <w:bottom w:val="single" w:sz="4" w:color="D9E1EA"/>
            </w:tcBorders>
          </w:tcPr>
          <w:p>
            <w:pPr>
              <w:spacing w:after="0"/>
            </w:pPr>
            <w:r>
              <w:rPr>
                <w:rFonts w:ascii="Georgia" w:hAnsi="Georgia"/>
                <w:b w:val="0"/>
                <w:color w:val="222222"/>
                <w:sz w:val="18"/>
              </w:rPr>
              <w:t>Selected Capitalization Rate</w:t>
            </w:r>
          </w:p>
        </w:tc>
        <w:tc>
          <w:tcPr>
            <w:tcW w:type="dxa" w:w="2520"/>
            <w:vAlign w:val="center"/>
            <w:tcMar>
              <w:top w:w="55" w:type="dxa"/>
              <w:start w:w="90" w:type="dxa"/>
              <w:bottom w:w="55" w:type="dxa"/>
              <w:end w:w="90" w:type="dxa"/>
            </w:tcMar>
            <w:tcBorders>
              <w:bottom w:val="single" w:sz="4" w:color="D9E1EA"/>
            </w:tcBorders>
          </w:tcPr>
          <w:p>
            <w:pPr>
              <w:spacing w:after="0"/>
              <w:jc w:val="right"/>
            </w:pPr>
            <w:r>
              <w:rPr>
                <w:rFonts w:ascii="Georgia" w:hAnsi="Georgia"/>
                <w:b/>
                <w:color w:val="222222"/>
                <w:sz w:val="19"/>
              </w:rPr>
              <w:t>9.5%</w:t>
            </w:r>
          </w:p>
        </w:tc>
      </w:tr>
      <w:tr>
        <w:tc>
          <w:tcPr>
            <w:tcW w:type="dxa" w:w="8136"/>
            <w:vAlign w:val="center"/>
            <w:tcMar>
              <w:top w:w="55" w:type="dxa"/>
              <w:start w:w="90" w:type="dxa"/>
              <w:bottom w:w="55" w:type="dxa"/>
              <w:end w:w="90" w:type="dxa"/>
            </w:tcMar>
            <w:tcBorders>
              <w:bottom w:val="single" w:sz="4" w:color="D9E1EA"/>
            </w:tcBorders>
            <w:shd w:fill="E8EEF5"/>
          </w:tcPr>
          <w:p>
            <w:pPr>
              <w:spacing w:after="0"/>
            </w:pPr>
            <w:r>
              <w:rPr>
                <w:rFonts w:ascii="Georgia" w:hAnsi="Georgia"/>
                <w:b/>
                <w:color w:val="17365D"/>
                <w:sz w:val="18"/>
              </w:rPr>
              <w:t>INDICATED MARKET VALUE</w:t>
            </w:r>
          </w:p>
        </w:tc>
        <w:tc>
          <w:tcPr>
            <w:tcW w:type="dxa" w:w="2520"/>
            <w:vAlign w:val="center"/>
            <w:tcMar>
              <w:top w:w="55" w:type="dxa"/>
              <w:start w:w="90" w:type="dxa"/>
              <w:bottom w:w="55" w:type="dxa"/>
              <w:end w:w="90" w:type="dxa"/>
            </w:tcMar>
            <w:tcBorders>
              <w:bottom w:val="single" w:sz="4" w:color="D9E1EA"/>
            </w:tcBorders>
            <w:shd w:fill="E8EEF5"/>
          </w:tcPr>
          <w:p>
            <w:pPr>
              <w:spacing w:after="0"/>
              <w:jc w:val="right"/>
            </w:pPr>
            <w:r>
              <w:rPr>
                <w:rFonts w:ascii="Georgia" w:hAnsi="Georgia"/>
                <w:b/>
                <w:color w:val="17365D"/>
                <w:sz w:val="19"/>
              </w:rPr>
              <w:t>$1,145,179</w:t>
            </w:r>
          </w:p>
        </w:tc>
      </w:tr>
    </w:tbl>
    <w:p>
      <w:pPr>
        <w:spacing w:before="160" w:after="60"/>
      </w:pPr>
      <w:r>
        <w:rPr>
          <w:rFonts w:ascii="Georgia" w:hAnsi="Georgia"/>
          <w:b/>
          <w:color w:val="365F91"/>
          <w:sz w:val="25"/>
        </w:rPr>
        <w:t>Rent &amp; Operating Notes</w:t>
      </w:r>
    </w:p>
    <w:p>
      <w:pPr>
        <w:spacing w:after="40"/>
        <w:ind w:left="259" w:hanging="173"/>
      </w:pPr>
      <w:r>
        <w:rPr>
          <w:rFonts w:ascii="Georgia" w:hAnsi="Georgia"/>
          <w:b/>
          <w:color w:val="17365D"/>
          <w:sz w:val="19"/>
        </w:rPr>
        <w:t xml:space="preserve">• </w:t>
      </w:r>
      <w:r>
        <w:rPr>
          <w:rFonts w:ascii="Georgia" w:hAnsi="Georgia"/>
          <w:b w:val="0"/>
          <w:color w:val="222222"/>
          <w:sz w:val="18"/>
        </w:rPr>
        <w:t>The two tenant-owned mobile home spaces are scheduled to increase to $500 per month in January 2027.</w:t>
      </w:r>
    </w:p>
    <w:p>
      <w:pPr>
        <w:spacing w:after="40"/>
        <w:ind w:left="259" w:hanging="173"/>
      </w:pPr>
      <w:r>
        <w:rPr>
          <w:rFonts w:ascii="Georgia" w:hAnsi="Georgia"/>
          <w:b/>
          <w:color w:val="17365D"/>
          <w:sz w:val="19"/>
        </w:rPr>
        <w:t xml:space="preserve">• </w:t>
      </w:r>
      <w:r>
        <w:rPr>
          <w:rFonts w:ascii="Georgia" w:hAnsi="Georgia"/>
          <w:b w:val="0"/>
          <w:color w:val="222222"/>
          <w:sz w:val="18"/>
        </w:rPr>
        <w:t>The remaining 11 rental homes average approximately $1,001.50 per month, with rents ranging from $660 to $1,650.</w:t>
      </w:r>
    </w:p>
    <w:p>
      <w:pPr>
        <w:spacing w:after="40"/>
        <w:ind w:left="259" w:hanging="173"/>
      </w:pPr>
      <w:r>
        <w:rPr>
          <w:rFonts w:ascii="Georgia" w:hAnsi="Georgia"/>
          <w:b/>
          <w:color w:val="17365D"/>
          <w:sz w:val="19"/>
        </w:rPr>
        <w:t xml:space="preserve">• </w:t>
      </w:r>
      <w:r>
        <w:rPr>
          <w:rFonts w:ascii="Georgia" w:hAnsi="Georgia"/>
          <w:b w:val="0"/>
          <w:color w:val="222222"/>
          <w:sz w:val="18"/>
        </w:rPr>
        <w:t>Estimated market space rent for an older park of this type is approximately $625-$675 per month.</w:t>
      </w:r>
    </w:p>
    <w:p>
      <w:pPr>
        <w:spacing w:after="40"/>
        <w:ind w:left="259" w:hanging="173"/>
      </w:pPr>
      <w:r>
        <w:rPr>
          <w:rFonts w:ascii="Georgia" w:hAnsi="Georgia"/>
          <w:b/>
          <w:color w:val="17365D"/>
          <w:sz w:val="19"/>
        </w:rPr>
        <w:t xml:space="preserve">• </w:t>
      </w:r>
      <w:r>
        <w:rPr>
          <w:rFonts w:ascii="Georgia" w:hAnsi="Georgia"/>
          <w:b w:val="0"/>
          <w:color w:val="222222"/>
          <w:sz w:val="18"/>
        </w:rPr>
        <w:t>Income approach value is calculated as $108,792 NOI divided by a 9.5% capitalization rate.</w:t>
      </w:r>
    </w:p>
    <w:p>
      <w:pPr>
        <w:spacing w:before="100" w:after="0"/>
      </w:pPr>
      <w:r>
        <w:rPr>
          <w:rFonts w:ascii="Georgia" w:hAnsi="Georgia"/>
          <w:b w:val="0"/>
          <w:color w:val="666666"/>
          <w:sz w:val="15"/>
        </w:rPr>
        <w:t>Valuation commentary reflects the income and expense assumptions supplied by ownership/broker. Prospective purchasers should independently verify all rents, expenses, market-rent assumptions, capitalization rates, and future rent increases.</w:t>
      </w:r>
    </w:p>
    <w:p>
      <w:pPr>
        <w:pageBreakBefore/>
      </w:pPr>
    </w:p>
    <w:p>
      <w:pPr>
        <w:spacing w:after="200"/>
      </w:pPr>
      <w:r>
        <w:rPr>
          <w:rFonts w:ascii="Georgia" w:hAnsi="Georgia"/>
          <w:b/>
          <w:color w:val="173E68"/>
          <w:sz w:val="44"/>
        </w:rPr>
        <w:t>PROPERTY PHOTOGRAPHY</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5573"/>
        <w:gridCol w:w="5573"/>
      </w:tblGrid>
      <w:tr>
        <w:tc>
          <w:tcPr>
            <w:tcW w:type="dxa" w:w="5400"/>
            <w:tcMar>
              <w:top w:w="20" w:type="dxa"/>
              <w:start w:w="20" w:type="dxa"/>
              <w:bottom w:w="20" w:type="dxa"/>
              <w:end w:w="20" w:type="dxa"/>
            </w:tcMar>
          </w:tcPr>
          <w:p>
            <w:pPr>
              <w:jc w:val="center"/>
            </w:pPr>
            <w:r/>
          </w:p>
        </w:tc>
        <w:tc>
          <w:tcPr>
            <w:tcW w:type="dxa" w:w="5400"/>
            <w:tcMar>
              <w:top w:w="20" w:type="dxa"/>
              <w:start w:w="20" w:type="dxa"/>
              <w:bottom w:w="20" w:type="dxa"/>
              <w:end w:w="20" w:type="dxa"/>
            </w:tcMar>
          </w:tcPr>
          <w:p>
            <w:pPr>
              <w:jc w:val="center"/>
            </w:pPr>
            <w:r/>
          </w:p>
        </w:tc>
      </w:tr>
    </w:tbl>
    <w:p>
      <w:pPr>
        <w:spacing w:after="40"/>
      </w:pP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5573"/>
        <w:gridCol w:w="5573"/>
      </w:tblGrid>
      <w:tr>
        <w:tc>
          <w:tcPr>
            <w:tcW w:type="dxa" w:w="5400"/>
            <w:tcMar>
              <w:top w:w="20" w:type="dxa"/>
              <w:start w:w="20" w:type="dxa"/>
              <w:bottom w:w="20" w:type="dxa"/>
              <w:end w:w="20" w:type="dxa"/>
            </w:tcMar>
          </w:tcPr>
          <w:p>
            <w:pPr>
              <w:jc w:val="center"/>
            </w:pPr>
            <w:r/>
          </w:p>
        </w:tc>
        <w:tc>
          <w:tcPr>
            <w:tcW w:type="dxa" w:w="5400"/>
            <w:tcMar>
              <w:top w:w="20" w:type="dxa"/>
              <w:start w:w="20" w:type="dxa"/>
              <w:bottom w:w="20" w:type="dxa"/>
              <w:end w:w="20" w:type="dxa"/>
            </w:tcMar>
          </w:tcPr>
          <w:p>
            <w:pPr>
              <w:jc w:val="center"/>
            </w:pPr>
            <w:r/>
          </w:p>
        </w:tc>
      </w:tr>
    </w:tbl>
    <w:p>
      <w:pPr>
        <w:spacing w:after="40"/>
      </w:pPr>
    </w:p>
    <w:p>
      <w:pPr>
        <w:spacing w:after="0" w:line="257" w:lineRule="auto"/>
      </w:pPr>
      <w:r>
        <w:rPr>
          <w:rFonts w:ascii="Georgia" w:hAnsi="Georgia"/>
          <w:color w:val="22252A"/>
          <w:sz w:val="18"/>
        </w:rPr>
        <w:t>Property photographs are provided for general reference. Prospective purchasers should independently verify the condition of all manufactured homes, the stick-built residence, laundry facility, utility systems, site improvements, and other physical components of the property.</w:t>
      </w:r>
    </w:p>
    <w:p>
      <w:r>
        <w:br w:type="page"/>
      </w:r>
    </w:p>
    <w:p>
      <w:pPr>
        <w:spacing w:after="200"/>
      </w:pPr>
      <w:r>
        <w:rPr>
          <w:rFonts w:ascii="Georgia" w:hAnsi="Georgia"/>
          <w:b/>
          <w:color w:val="173E68"/>
          <w:sz w:val="44"/>
        </w:rPr>
        <w:t>INVESTMENT RATIONALE</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5573"/>
        <w:gridCol w:w="5573"/>
      </w:tblGrid>
      <w:tr>
        <w:tc>
          <w:tcPr>
            <w:tcW w:type="dxa" w:w="3528"/>
            <w:shd w:fill="173E68"/>
            <w:tcMar>
              <w:top w:w="100" w:type="dxa"/>
              <w:start w:w="100" w:type="dxa"/>
              <w:bottom w:w="100" w:type="dxa"/>
              <w:end w:w="100" w:type="dxa"/>
            </w:tcMar>
            <w:vAlign w:val="center"/>
          </w:tcPr>
          <w:p>
            <w:r>
              <w:rPr>
                <w:rFonts w:ascii="Aptos" w:hAnsi="Aptos"/>
                <w:b/>
                <w:color w:val="FFFFFF"/>
                <w:sz w:val="17"/>
              </w:rPr>
              <w:t>DIVERSIFIED RENTAL INCOME</w:t>
            </w:r>
          </w:p>
        </w:tc>
        <w:tc>
          <w:tcPr>
            <w:tcW w:type="dxa" w:w="7560"/>
            <w:shd w:fill="E8EFF7"/>
            <w:tcMar>
              <w:top w:w="100" w:type="dxa"/>
              <w:start w:w="100" w:type="dxa"/>
              <w:bottom w:w="100" w:type="dxa"/>
              <w:end w:w="100" w:type="dxa"/>
            </w:tcMar>
            <w:vAlign w:val="center"/>
          </w:tcPr>
          <w:p>
            <w:r>
              <w:rPr>
                <w:rFonts w:ascii="Georgia" w:hAnsi="Georgia"/>
                <w:color w:val="22252A"/>
                <w:sz w:val="17"/>
              </w:rPr>
              <w:t>Income is supported by 10 park-owned homes, two leased spaces, a separate two-bedroom residence, and an on-site laundry component.</w:t>
            </w:r>
          </w:p>
        </w:tc>
      </w:tr>
    </w:tbl>
    <w:p>
      <w:pPr>
        <w:spacing w:after="0"/>
      </w:pP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5573"/>
        <w:gridCol w:w="5573"/>
      </w:tblGrid>
      <w:tr>
        <w:tc>
          <w:tcPr>
            <w:tcW w:type="dxa" w:w="3528"/>
            <w:shd w:fill="173E68"/>
            <w:tcMar>
              <w:top w:w="100" w:type="dxa"/>
              <w:start w:w="100" w:type="dxa"/>
              <w:bottom w:w="100" w:type="dxa"/>
              <w:end w:w="100" w:type="dxa"/>
            </w:tcMar>
            <w:vAlign w:val="center"/>
          </w:tcPr>
          <w:p>
            <w:r>
              <w:rPr>
                <w:rFonts w:ascii="Aptos" w:hAnsi="Aptos"/>
                <w:b/>
                <w:color w:val="FFFFFF"/>
                <w:sz w:val="17"/>
              </w:rPr>
              <w:t>CONTROL OF MAJORITY OF HOMES</w:t>
            </w:r>
          </w:p>
        </w:tc>
        <w:tc>
          <w:tcPr>
            <w:tcW w:type="dxa" w:w="7560"/>
            <w:shd w:fill="E8EFF7"/>
            <w:tcMar>
              <w:top w:w="100" w:type="dxa"/>
              <w:start w:w="100" w:type="dxa"/>
              <w:bottom w:w="100" w:type="dxa"/>
              <w:end w:w="100" w:type="dxa"/>
            </w:tcMar>
            <w:vAlign w:val="center"/>
          </w:tcPr>
          <w:p>
            <w:r>
              <w:rPr>
                <w:rFonts w:ascii="Georgia" w:hAnsi="Georgia"/>
                <w:color w:val="22252A"/>
                <w:sz w:val="17"/>
              </w:rPr>
              <w:t>Ownership of 10 manufactured homes provides direct control over the majority of the community’s residential inventory.</w:t>
            </w:r>
          </w:p>
        </w:tc>
      </w:tr>
    </w:tbl>
    <w:p>
      <w:pPr>
        <w:spacing w:after="0"/>
      </w:pP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5573"/>
        <w:gridCol w:w="5573"/>
      </w:tblGrid>
      <w:tr>
        <w:tc>
          <w:tcPr>
            <w:tcW w:type="dxa" w:w="3528"/>
            <w:shd w:fill="173E68"/>
            <w:tcMar>
              <w:top w:w="100" w:type="dxa"/>
              <w:start w:w="100" w:type="dxa"/>
              <w:bottom w:w="100" w:type="dxa"/>
              <w:end w:w="100" w:type="dxa"/>
            </w:tcMar>
            <w:vAlign w:val="center"/>
          </w:tcPr>
          <w:p>
            <w:r>
              <w:rPr>
                <w:rFonts w:ascii="Aptos" w:hAnsi="Aptos"/>
                <w:b/>
                <w:color w:val="FFFFFF"/>
                <w:sz w:val="17"/>
              </w:rPr>
              <w:t>SPACE-RENT COMPONENT</w:t>
            </w:r>
          </w:p>
        </w:tc>
        <w:tc>
          <w:tcPr>
            <w:tcW w:type="dxa" w:w="7560"/>
            <w:shd w:fill="E8EFF7"/>
            <w:tcMar>
              <w:top w:w="100" w:type="dxa"/>
              <w:start w:w="100" w:type="dxa"/>
              <w:bottom w:w="100" w:type="dxa"/>
              <w:end w:w="100" w:type="dxa"/>
            </w:tcMar>
            <w:vAlign w:val="center"/>
          </w:tcPr>
          <w:p>
            <w:r>
              <w:rPr>
                <w:rFonts w:ascii="Georgia" w:hAnsi="Georgia"/>
                <w:color w:val="22252A"/>
                <w:sz w:val="17"/>
              </w:rPr>
              <w:t>Two tenant-owned homes generate recurring space-rent income without ownership responsibility for those manufactured homes.</w:t>
            </w:r>
          </w:p>
        </w:tc>
      </w:tr>
    </w:tbl>
    <w:p>
      <w:pPr>
        <w:spacing w:after="0"/>
      </w:pP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5573"/>
        <w:gridCol w:w="5573"/>
      </w:tblGrid>
      <w:tr>
        <w:tc>
          <w:tcPr>
            <w:tcW w:type="dxa" w:w="3528"/>
            <w:shd w:fill="173E68"/>
            <w:tcMar>
              <w:top w:w="100" w:type="dxa"/>
              <w:start w:w="100" w:type="dxa"/>
              <w:bottom w:w="100" w:type="dxa"/>
              <w:end w:w="100" w:type="dxa"/>
            </w:tcMar>
            <w:vAlign w:val="center"/>
          </w:tcPr>
          <w:p>
            <w:r>
              <w:rPr>
                <w:rFonts w:ascii="Aptos" w:hAnsi="Aptos"/>
                <w:b/>
                <w:color w:val="FFFFFF"/>
                <w:sz w:val="17"/>
              </w:rPr>
              <w:t>SEPARATE ELECTRICAL METERING</w:t>
            </w:r>
          </w:p>
        </w:tc>
        <w:tc>
          <w:tcPr>
            <w:tcW w:type="dxa" w:w="7560"/>
            <w:shd w:fill="E8EFF7"/>
            <w:tcMar>
              <w:top w:w="100" w:type="dxa"/>
              <w:start w:w="100" w:type="dxa"/>
              <w:bottom w:w="100" w:type="dxa"/>
              <w:end w:w="100" w:type="dxa"/>
            </w:tcMar>
            <w:vAlign w:val="center"/>
          </w:tcPr>
          <w:p>
            <w:r>
              <w:rPr>
                <w:rFonts w:ascii="Georgia" w:hAnsi="Georgia"/>
                <w:color w:val="22252A"/>
                <w:sz w:val="17"/>
              </w:rPr>
              <w:t>Individual metering can improve operating clarity and reduce exposure to common electrical usage being embedded in master utility billing.</w:t>
            </w:r>
          </w:p>
        </w:tc>
      </w:tr>
    </w:tbl>
    <w:p>
      <w:pPr>
        <w:spacing w:after="0"/>
      </w:pP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5573"/>
        <w:gridCol w:w="5573"/>
      </w:tblGrid>
      <w:tr>
        <w:tc>
          <w:tcPr>
            <w:tcW w:type="dxa" w:w="3528"/>
            <w:shd w:fill="173E68"/>
            <w:tcMar>
              <w:top w:w="100" w:type="dxa"/>
              <w:start w:w="100" w:type="dxa"/>
              <w:bottom w:w="100" w:type="dxa"/>
              <w:end w:w="100" w:type="dxa"/>
            </w:tcMar>
            <w:vAlign w:val="center"/>
          </w:tcPr>
          <w:p>
            <w:r>
              <w:rPr>
                <w:rFonts w:ascii="Aptos" w:hAnsi="Aptos"/>
                <w:b/>
                <w:color w:val="FFFFFF"/>
                <w:sz w:val="17"/>
              </w:rPr>
              <w:t>ESTABLISHED MANUFACTURED-HOUSING USE</w:t>
            </w:r>
          </w:p>
        </w:tc>
        <w:tc>
          <w:tcPr>
            <w:tcW w:type="dxa" w:w="7560"/>
            <w:shd w:fill="E8EFF7"/>
            <w:tcMar>
              <w:top w:w="100" w:type="dxa"/>
              <w:start w:w="100" w:type="dxa"/>
              <w:bottom w:w="100" w:type="dxa"/>
              <w:end w:w="100" w:type="dxa"/>
            </w:tcMar>
            <w:vAlign w:val="center"/>
          </w:tcPr>
          <w:p>
            <w:r>
              <w:rPr>
                <w:rFonts w:ascii="Georgia" w:hAnsi="Georgia"/>
                <w:color w:val="22252A"/>
                <w:sz w:val="17"/>
              </w:rPr>
              <w:t>The property is operated as an existing manufactured-housing investment rather than a ground-up development opportunity.</w:t>
            </w:r>
          </w:p>
        </w:tc>
      </w:tr>
    </w:tbl>
    <w:p>
      <w:pPr>
        <w:spacing w:after="0"/>
      </w:pP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5573"/>
        <w:gridCol w:w="5573"/>
      </w:tblGrid>
      <w:tr>
        <w:tc>
          <w:tcPr>
            <w:tcW w:type="dxa" w:w="3528"/>
            <w:shd w:fill="173E68"/>
            <w:tcMar>
              <w:top w:w="100" w:type="dxa"/>
              <w:start w:w="100" w:type="dxa"/>
              <w:bottom w:w="100" w:type="dxa"/>
              <w:end w:w="100" w:type="dxa"/>
            </w:tcMar>
            <w:vAlign w:val="center"/>
          </w:tcPr>
          <w:p>
            <w:r>
              <w:rPr>
                <w:rFonts w:ascii="Aptos" w:hAnsi="Aptos"/>
                <w:b/>
                <w:color w:val="FFFFFF"/>
                <w:sz w:val="17"/>
              </w:rPr>
              <w:t>ADDITIONAL CONVENTIONAL RESIDENCE</w:t>
            </w:r>
          </w:p>
        </w:tc>
        <w:tc>
          <w:tcPr>
            <w:tcW w:type="dxa" w:w="7560"/>
            <w:shd w:fill="E8EFF7"/>
            <w:tcMar>
              <w:top w:w="100" w:type="dxa"/>
              <w:start w:w="100" w:type="dxa"/>
              <w:bottom w:w="100" w:type="dxa"/>
              <w:end w:w="100" w:type="dxa"/>
            </w:tcMar>
            <w:vAlign w:val="center"/>
          </w:tcPr>
          <w:p>
            <w:r>
              <w:rPr>
                <w:rFonts w:ascii="Georgia" w:hAnsi="Georgia"/>
                <w:color w:val="22252A"/>
                <w:sz w:val="17"/>
              </w:rPr>
              <w:t>The two-bedroom stick-built home provides a rental component distinct from the manufactured-home spaces.</w:t>
            </w:r>
          </w:p>
        </w:tc>
      </w:tr>
    </w:tbl>
    <w:p>
      <w:pPr>
        <w:spacing w:after="0"/>
      </w:pPr>
    </w:p>
    <w:p>
      <w:pPr>
        <w:spacing w:before="80" w:after="100"/>
      </w:pPr>
      <w:r>
        <w:rPr>
          <w:rFonts w:ascii="Georgia" w:hAnsi="Georgia"/>
          <w:b/>
          <w:color w:val="173E68"/>
          <w:sz w:val="28"/>
        </w:rPr>
        <w:t>Confidentiality &amp; Disclaimer</w:t>
      </w:r>
    </w:p>
    <w:p>
      <w:pPr>
        <w:spacing w:after="120" w:line="257" w:lineRule="auto"/>
      </w:pPr>
      <w:r>
        <w:rPr>
          <w:rFonts w:ascii="Georgia" w:hAnsi="Georgia"/>
          <w:color w:val="22252A"/>
          <w:sz w:val="17"/>
        </w:rPr>
        <w:t>This Offering Memorandum has been prepared for informational purposes to assist prospective purchasers in evaluating the property at 93531 Coal Bank Lane, Coos Bay, Oregon. No representation or warranty, express or implied, is made as to the accuracy or completeness of the information. Prospective purchasers should independently verify all rents, leases, expenses, utility arrangements, title, zoning, permits, physical condition, property boundaries, and other matters material to an acquisition.</w:t>
      </w:r>
    </w:p>
    <w:tbl>
      <w:tblPr>
        <w:tblW w:type="auto" w:w="0"/>
        <w:jc w:val="center"/>
        <w:tblLook w:firstColumn="1" w:firstRow="1" w:lastColumn="0" w:lastRow="0" w:noHBand="0" w:noVBand="1" w:val="04A0"/>
        <w:tblBorders>
          <w:top w:val="nil"/>
          <w:left w:val="nil"/>
          <w:bottom w:val="nil"/>
          <w:right w:val="nil"/>
          <w:insideH w:val="nil"/>
          <w:insideV w:val="nil"/>
        </w:tblBorders>
      </w:tblPr>
      <w:tblGrid>
        <w:gridCol w:w="11146"/>
      </w:tblGrid>
      <w:tr>
        <w:tc>
          <w:tcPr>
            <w:tcW w:type="dxa" w:w="10368"/>
            <w:shd w:fill="173E68"/>
            <w:tcMar>
              <w:top w:w="120" w:type="dxa"/>
              <w:start w:w="100" w:type="dxa"/>
              <w:bottom w:w="120" w:type="dxa"/>
              <w:end w:w="100" w:type="dxa"/>
            </w:tcMar>
          </w:tcPr>
          <w:p>
            <w:pPr>
              <w:jc w:val="center"/>
            </w:pPr>
            <w:r>
              <w:rPr>
                <w:rFonts w:ascii="Aptos" w:hAnsi="Aptos"/>
                <w:color w:val="D9E4F2"/>
                <w:sz w:val="14"/>
              </w:rPr>
              <w:t>EXCLUSIVELY OFFERED BY</w:t>
              <w:br/>
            </w:r>
            <w:r>
              <w:rPr>
                <w:rFonts w:ascii="Georgia" w:hAnsi="Georgia"/>
                <w:b/>
                <w:color w:val="FFFFFF"/>
                <w:sz w:val="22"/>
              </w:rPr>
              <w:t>LYLE STRATTON  |  JEFF CRUMBAKER</w:t>
              <w:br/>
            </w:r>
            <w:r>
              <w:rPr>
                <w:rFonts w:ascii="Georgia" w:hAnsi="Georgia"/>
                <w:b/>
                <w:color w:val="FFFFFF"/>
                <w:sz w:val="20"/>
              </w:rPr>
              <w:t>360.718.8787</w:t>
              <w:br/>
            </w:r>
            <w:r>
              <w:rPr>
                <w:rFonts w:ascii="Aptos" w:hAnsi="Aptos"/>
                <w:b/>
                <w:color w:val="D9E4F2"/>
                <w:sz w:val="14"/>
              </w:rPr>
              <w:t>OPPORTUNITIES VENTURE COMMERCIAL REAL ESTATE</w:t>
            </w:r>
          </w:p>
        </w:tc>
      </w:tr>
    </w:tbl>
    <w:p>
      <w:pPr>
        <w:spacing w:before="100" w:after="0"/>
        <w:jc w:val="center"/>
      </w:pPr>
      <w:r>
        <w:drawing>
          <wp:inline xmlns:a="http://schemas.openxmlformats.org/drawingml/2006/main" xmlns:pic="http://schemas.openxmlformats.org/drawingml/2006/picture">
            <wp:extent cx="658368" cy="658368"/>
            <wp:docPr id="11" name="Picture 11"/>
            <wp:cNvGraphicFramePr>
              <a:graphicFrameLocks noChangeAspect="1"/>
            </wp:cNvGraphicFramePr>
            <a:graphic>
              <a:graphicData uri="http://schemas.openxmlformats.org/drawingml/2006/picture">
                <pic:pic>
                  <pic:nvPicPr>
                    <pic:cNvPr id="0" name="venture_logo.png"/>
                    <pic:cNvPicPr/>
                  </pic:nvPicPr>
                  <pic:blipFill>
                    <a:blip r:embed="rId20"/>
                    <a:stretch>
                      <a:fillRect/>
                    </a:stretch>
                  </pic:blipFill>
                  <pic:spPr>
                    <a:xfrm>
                      <a:off x="0" y="0"/>
                      <a:ext cx="658368" cy="658368"/>
                    </a:xfrm>
                    <a:prstGeom prst="rect"/>
                  </pic:spPr>
                </pic:pic>
              </a:graphicData>
            </a:graphic>
          </wp:inline>
        </w:drawing>
      </w:r>
    </w:p>
    <w:p>
      <w:pPr>
        <w:jc w:val="center"/>
      </w:pPr>
      <w:r>
        <w:rPr>
          <w:rFonts w:ascii="Georgia" w:hAnsi="Georgia"/>
          <w:b/>
          <w:color w:val="173E68"/>
          <w:sz w:val="15"/>
        </w:rPr>
        <w:t>93531 COAL BANK LANE  |  COOS BAY, OREGON 97420</w:t>
      </w:r>
    </w:p>
    <w:sectPr w:rsidR="00FC693F" w:rsidRPr="0006063C" w:rsidSect="00034616">
      <w:footerReference w:type="default" r:id="rId9"/>
      <w:pgSz w:w="12240" w:h="15840"/>
      <w:pgMar w:top="259" w:right="547" w:bottom="547" w:left="547" w:header="173" w:footer="25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ptos" w:hAnsi="Aptos"/>
        <w:color w:val="6D737B"/>
        <w:sz w:val="14"/>
      </w:rPr>
      <w:t>CONFIDENTIAL OFFERING MEMORANDUM</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Georgia" w:hAnsi="Georgia"/>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jpg"/><Relationship Id="rId11" Type="http://schemas.openxmlformats.org/officeDocument/2006/relationships/image" Target="media/image2.jpg"/><Relationship Id="rId12" Type="http://schemas.openxmlformats.org/officeDocument/2006/relationships/image" Target="media/image3.jpg"/><Relationship Id="rId13" Type="http://schemas.openxmlformats.org/officeDocument/2006/relationships/image" Target="media/image4.jpg"/><Relationship Id="rId14" Type="http://schemas.openxmlformats.org/officeDocument/2006/relationships/image" Target="media/image5.jpg"/><Relationship Id="rId15" Type="http://schemas.openxmlformats.org/officeDocument/2006/relationships/image" Target="media/image6.jpg"/><Relationship Id="rId16" Type="http://schemas.openxmlformats.org/officeDocument/2006/relationships/image" Target="media/image7.jpg"/><Relationship Id="rId17" Type="http://schemas.openxmlformats.org/officeDocument/2006/relationships/image" Target="media/image8.jpg"/><Relationship Id="rId18" Type="http://schemas.openxmlformats.org/officeDocument/2006/relationships/image" Target="media/image9.jpg"/><Relationship Id="rId19" Type="http://schemas.openxmlformats.org/officeDocument/2006/relationships/image" Target="media/image10.jpg"/><Relationship Id="rId20"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Offering Memorandum - 93531 Coal Bank Lane, Coos Bay, Oregon</dc:title>
  <dc:subject>12-space mobile home park offering</dc:subject>
  <dc:creator>Venture Commercial Real Estate</dc:creator>
  <cp:keywords/>
  <dc:description>generated by python-docx</dc:description>
  <cp:lastModifiedBy/>
  <cp:revision>1</cp:revision>
  <dcterms:created xsi:type="dcterms:W3CDTF">2013-12-23T23:15:00Z</dcterms:created>
  <dcterms:modified xsi:type="dcterms:W3CDTF">2013-12-23T23:15:00Z</dcterms:modified>
  <cp:category/>
</cp:coreProperties>
</file>