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Georgia" w:cs="Georgia" w:eastAsia="Georgia" w:hAnsi="Georgia"/>
          <w:b/>
          <w:bCs/>
          <w:color w:val="6B1F1F"/>
          <w:sz w:val="40"/>
          <w:szCs w:val="40"/>
        </w:rPr>
        <w:t xml:space="preserve">ASSET REGISTER</w:t>
      </w:r>
    </w:p>
    <w:p>
      <w:pPr>
        <w:spacing w:after="20"/>
      </w:pPr>
      <w:r>
        <w:rPr>
          <w:rFonts w:ascii="Georgia" w:cs="Georgia" w:eastAsia="Georgia" w:hAnsi="Georgia"/>
          <w:color w:val="140C06"/>
          <w:sz w:val="28"/>
          <w:szCs w:val="28"/>
        </w:rPr>
        <w:t xml:space="preserve">The Wenzil Taylor Building</w:t>
      </w:r>
    </w:p>
    <w:p>
      <w:pPr>
        <w:pBdr>
          <w:bottom w:val="single" w:color="C9A24B" w:sz="18" w:space="6"/>
        </w:pBdr>
        <w:spacing w:after="160"/>
      </w:pPr>
      <w:r>
        <w:rPr>
          <w:rFonts w:ascii="Georgia" w:cs="Georgia" w:eastAsia="Georgia" w:hAnsi="Georgia"/>
          <w:i/>
          <w:iCs/>
          <w:color w:val="555555"/>
          <w:sz w:val="19"/>
          <w:szCs w:val="19"/>
        </w:rPr>
        <w:t xml:space="preserve">331 S Main St, Spillville, IA 52168  •  Wenzil Taylor Building, LLC</w:t>
      </w:r>
    </w:p>
    <w:p>
      <w:pPr>
        <w:spacing w:after="120"/>
      </w:pPr>
      <w:r>
        <w:rPr>
          <w:rFonts w:ascii="Georgia" w:cs="Georgia" w:eastAsia="Georgia" w:hAnsi="Georgia"/>
          <w:i/>
          <w:iCs/>
          <w:color w:val="555555"/>
          <w:sz w:val="21"/>
          <w:szCs w:val="21"/>
        </w:rPr>
        <w:t xml:space="preserve">This register documents the tangible and intangible assets that convey with the sale of the property and business. It is provided to qualified buyers to support due diligence. All items are deemed accurate but buyer is responsible for independent verification.</w:t>
      </w:r>
    </w:p>
    <w:p>
      <w:pPr>
        <w:pBdr>
          <w:bottom w:val="single" w:color="C9A24B" w:sz="12" w:space="4"/>
        </w:pBdr>
        <w:spacing w:after="120" w:before="260"/>
      </w:pPr>
      <w:r>
        <w:rPr>
          <w:rFonts w:ascii="Georgia" w:cs="Georgia" w:eastAsia="Georgia" w:hAnsi="Georgia"/>
          <w:b/>
          <w:bCs/>
          <w:color w:val="6B1F1F"/>
          <w:sz w:val="26"/>
          <w:szCs w:val="26"/>
        </w:rPr>
        <w:t xml:space="preserve">1.  Real Property</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Building</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1871 stone structure across three levels (buyer to verify sq ft with county assessor)</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Historic Status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Listed on the National Register of Historic Places</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Lower Level</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Original hand-laid limestone vaulted tunnels with pressed-tin ceiling — hold the restaurant booth dining; the main bar sits nearby on this level</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Main / Ground Level</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Grand hotel-lobby-style room with a second bar; historic front desk</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Upper Level</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Seven guest rooms</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Signature Features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Limestone tunnels; Chicago stained glass; antique New York chandeliers; hand-painted speakeasy mural; a bar carried by local lore (some say imported from Ireland, some say built by local craftsmen)</w:t>
            </w:r>
          </w:p>
        </w:tc>
      </w:tr>
    </w:tbl>
    <w:p>
      <w:pPr>
        <w:pBdr>
          <w:bottom w:val="single" w:color="C9A24B" w:sz="12" w:space="4"/>
        </w:pBdr>
        <w:spacing w:after="120" w:before="260"/>
      </w:pPr>
      <w:r>
        <w:rPr>
          <w:rFonts w:ascii="Georgia" w:cs="Georgia" w:eastAsia="Georgia" w:hAnsi="Georgia"/>
          <w:b/>
          <w:bCs/>
          <w:color w:val="6B1F1F"/>
          <w:sz w:val="26"/>
          <w:szCs w:val="26"/>
        </w:rPr>
        <w:t xml:space="preserve">2.  The Prohibition Story (a Rare Intangible Asset)</w:t>
      </w:r>
    </w:p>
    <w:p>
      <w:pPr>
        <w:spacing w:after="120"/>
      </w:pPr>
      <w:r>
        <w:rPr>
          <w:rFonts w:ascii="Georgia" w:cs="Georgia" w:eastAsia="Georgia" w:hAnsi="Georgia"/>
          <w:i w:val="false"/>
          <w:iCs w:val="false"/>
          <w:color w:val="222222"/>
          <w:sz w:val="21"/>
          <w:szCs w:val="21"/>
        </w:rPr>
        <w:t xml:space="preserve">The building carries a genuine local legend that is itself a marketing asset for the next owner:</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Bootlegging Tunnels</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Local lore holds the tunnels beneath the bar were used for bootlegging during Prohibition</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Al Capone Connection</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Local legend of an Al Capone tie to the area, linked to Templeton Rye — the Iowa-made whiskey said to be his favorite</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Mafia-Era Photos</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 collection of mafia-era photographs displayed throughout the building — conveys with sale</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Marketing Value</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 ready-made speakeasy/Prohibition brand story most venues can only invent</w:t>
            </w:r>
          </w:p>
        </w:tc>
      </w:tr>
    </w:tbl>
    <w:p>
      <w:pPr>
        <w:pBdr>
          <w:bottom w:val="single" w:color="C9A24B" w:sz="12" w:space="4"/>
        </w:pBdr>
        <w:spacing w:after="120" w:before="260"/>
      </w:pPr>
      <w:r>
        <w:rPr>
          <w:rFonts w:ascii="Georgia" w:cs="Georgia" w:eastAsia="Georgia" w:hAnsi="Georgia"/>
          <w:b/>
          <w:bCs/>
          <w:color w:val="6B1F1F"/>
          <w:sz w:val="26"/>
          <w:szCs w:val="26"/>
        </w:rPr>
        <w:t xml:space="preserve">3.  Operating Business</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Boutique Hotel</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7 furnished guest rooms with private baths — spacious and well-appointed, with nice showers</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Main Bar</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On the lower level (separate from the tunnels) — the primary bar</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Tunnel Dining</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Restaurant booth seating set within the original limestone tunnels</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Second Bar</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Upstairs in the lobby-style room; opens for events or high-volume nights</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Commercial Kitchen</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Full commercial kitchen serving the operation</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Private Gatherings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Main-floor room suits rehearsal dinners, family reunions, private parties, and smaller weddings</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Owner/Manager Unit</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On-site residential kitchen and living quarters</w:t>
            </w:r>
          </w:p>
        </w:tc>
      </w:tr>
    </w:tbl>
    <w:p>
      <w:pPr>
        <w:pBdr>
          <w:bottom w:val="single" w:color="C9A24B" w:sz="12" w:space="4"/>
        </w:pBdr>
        <w:spacing w:after="120" w:before="260"/>
      </w:pPr>
      <w:r>
        <w:rPr>
          <w:rFonts w:ascii="Georgia" w:cs="Georgia" w:eastAsia="Georgia" w:hAnsi="Georgia"/>
          <w:b/>
          <w:bCs/>
          <w:color w:val="6B1F1F"/>
          <w:sz w:val="26"/>
          <w:szCs w:val="26"/>
        </w:rPr>
        <w:t xml:space="preserve">4.  Furniture, Fixtures &amp; Equipment (Conveys with Sale)</w:t>
      </w:r>
    </w:p>
    <w:p>
      <w:pPr>
        <w:spacing w:after="120"/>
      </w:pPr>
      <w:r>
        <w:rPr>
          <w:rFonts w:ascii="Georgia" w:cs="Georgia" w:eastAsia="Georgia" w:hAnsi="Georgia"/>
          <w:i w:val="false"/>
          <w:iCs w:val="false"/>
          <w:color w:val="222222"/>
          <w:sz w:val="21"/>
          <w:szCs w:val="21"/>
        </w:rPr>
        <w:t xml:space="preserve">Sold turnkey. The following convey with the property at closing:</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Kitchen Equipment</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Full commercial kitchen equipment incl. a recently purchased new fryer (buyer to inventory at diligence)</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Bar Equipment</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Two bars — taps, coolers, glassware, fixtures</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Hotel Furnishings</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All 7 guest rooms fully furnished (new beds, antique dressers, linens, TVs)</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Dining Furnishings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Tunnel booth seating, tables, chairs</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Front Desk / Office</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Reception fixtures, POS/phone systems (buyer to verify)</w:t>
            </w:r>
          </w:p>
        </w:tc>
      </w:tr>
    </w:tbl>
    <w:p>
      <w:pPr>
        <w:pBdr>
          <w:bottom w:val="single" w:color="C9A24B" w:sz="12" w:space="4"/>
        </w:pBdr>
        <w:spacing w:after="120" w:before="260"/>
      </w:pPr>
      <w:r>
        <w:rPr>
          <w:rFonts w:ascii="Georgia" w:cs="Georgia" w:eastAsia="Georgia" w:hAnsi="Georgia"/>
          <w:b/>
          <w:bCs/>
          <w:color w:val="6B1F1F"/>
          <w:sz w:val="26"/>
          <w:szCs w:val="26"/>
        </w:rPr>
        <w:t xml:space="preserve">5.  Digital, Booking &amp; Brand Assets</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STR Listings</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Active Airbnb &amp; VRBO listings with booking history and guest reviews</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Website</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wenziltaylor.com</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Brand</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Established local/regional brand and reputation as a destination</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Existing Bookings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Forward bookings (buyer to review under NDA)</w:t>
            </w:r>
          </w:p>
        </w:tc>
      </w:tr>
    </w:tbl>
    <w:p>
      <w:pPr>
        <w:pBdr>
          <w:bottom w:val="single" w:color="C9A24B" w:sz="12" w:space="4"/>
        </w:pBdr>
        <w:spacing w:after="120" w:before="260"/>
      </w:pPr>
      <w:r>
        <w:rPr>
          <w:rFonts w:ascii="Georgia" w:cs="Georgia" w:eastAsia="Georgia" w:hAnsi="Georgia"/>
          <w:b/>
          <w:bCs/>
          <w:color w:val="6B1F1F"/>
          <w:sz w:val="26"/>
          <w:szCs w:val="26"/>
        </w:rPr>
        <w:t xml:space="preserve">6.  Historic Artifacts &amp; Character Pieces (Convey with Sale)</w:t>
      </w:r>
    </w:p>
    <w:p>
      <w:pPr>
        <w:spacing w:after="120"/>
      </w:pPr>
      <w:r>
        <w:rPr>
          <w:rFonts w:ascii="Georgia" w:cs="Georgia" w:eastAsia="Georgia" w:hAnsi="Georgia"/>
          <w:i w:val="false"/>
          <w:iCs w:val="false"/>
          <w:color w:val="222222"/>
          <w:sz w:val="21"/>
          <w:szCs w:val="21"/>
        </w:rPr>
        <w:t xml:space="preserve">A rare inclusion — these pieces are part of the building's history and transfer to the new owner:</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Large painting of Antonín Dvořák</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Provenance unknown; Dvořák famously summered in Spillville — a heritage piece</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Mafia-era photograph collection</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Displayed throughout; anchors the Prohibition/speakeasy story</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Wenzil Taylor &amp; family historic pieces</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Original to the building's namesake family</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Antique photographs &amp; framed artifacts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Document the building's history</w:t>
            </w:r>
          </w:p>
        </w:tc>
      </w:tr>
    </w:tbl>
    <w:p>
      <w:pPr>
        <w:pBdr>
          <w:bottom w:val="single" w:color="C9A24B" w:sz="12" w:space="4"/>
        </w:pBdr>
        <w:spacing w:after="120" w:before="260"/>
      </w:pPr>
      <w:r>
        <w:rPr>
          <w:rFonts w:ascii="Georgia" w:cs="Georgia" w:eastAsia="Georgia" w:hAnsi="Georgia"/>
          <w:b/>
          <w:bCs/>
          <w:color w:val="6B1F1F"/>
          <w:sz w:val="26"/>
          <w:szCs w:val="26"/>
        </w:rPr>
        <w:t xml:space="preserve">7.  Licenses &amp; Permits</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Liquor License</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Established licensed on-premise premises; buyer obtains own license via City of Spillville + Iowa ABD</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Food Establishment</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Operating licensed food establishment; buyer obtains own permit via Iowa DIA</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Note</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Premises are established, inspected and code-compliant — licensing is routine transfer of an operating location</w:t>
            </w:r>
          </w:p>
        </w:tc>
      </w:tr>
    </w:tbl>
    <w:p>
      <w:pPr>
        <w:pBdr>
          <w:bottom w:val="single" w:color="C9A24B" w:sz="12" w:space="4"/>
        </w:pBdr>
        <w:spacing w:after="120" w:before="260"/>
      </w:pPr>
      <w:r>
        <w:rPr>
          <w:rFonts w:ascii="Georgia" w:cs="Georgia" w:eastAsia="Georgia" w:hAnsi="Georgia"/>
          <w:b/>
          <w:bCs/>
          <w:color w:val="6B1F1F"/>
          <w:sz w:val="26"/>
          <w:szCs w:val="26"/>
        </w:rPr>
        <w:t xml:space="preserve">8.  Historic Tax Credit Position</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Eligibility</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Certified historic property positioned for Iowa 25% State + Federal 20% HTC (combined 45% on qualified rehabilitation)</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Mechanism</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Iowa credits are transferable, monetized at ~85–90¢ on the dollar</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Buyer Upside</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Qualifying future rehab spend (windows, HVAC, restoration) generates transferable credits</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Status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Application in process. Buyer to verify eligibility and current program terms with Iowa SHPO and a qualified tax-credit advisor</w:t>
            </w:r>
          </w:p>
        </w:tc>
      </w:tr>
    </w:tbl>
    <w:p>
      <w:pPr>
        <w:pBdr>
          <w:bottom w:val="single" w:color="C9A24B" w:sz="12" w:space="4"/>
        </w:pBdr>
        <w:spacing w:after="120" w:before="260"/>
      </w:pPr>
      <w:r>
        <w:rPr>
          <w:rFonts w:ascii="Georgia" w:cs="Georgia" w:eastAsia="Georgia" w:hAnsi="Georgia"/>
          <w:b/>
          <w:bCs/>
          <w:color w:val="6B1F1F"/>
          <w:sz w:val="26"/>
          <w:szCs w:val="26"/>
        </w:rPr>
        <w:t xml:space="preserve">9.  Offering &amp; Terms</w:t>
      </w:r>
    </w:p>
    <w:tbl>
      <w:tblPr>
        <w:tblW w:type="dxa" w:w="9360"/>
        <w:tblBorders>
          <w:top w:val="single" w:color="DDD3BE" w:sz="2"/>
          <w:left w:val="none"/>
          <w:bottom w:val="single" w:color="DDD3BE" w:sz="2"/>
          <w:right w:val="none"/>
          <w:insideH w:val="single" w:color="E5DCC6" w:sz="2"/>
          <w:insideV w:val="none"/>
        </w:tblBorders>
      </w:tblPr>
      <w:tblGrid>
        <w:gridCol w:w="2600"/>
        <w:gridCol w:w="6760"/>
      </w:tblGrid>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Offering Price</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$379,000</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Financing</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Seller financing available for qualified buyers</w:t>
            </w:r>
          </w:p>
        </w:tc>
      </w:tr>
      <w:tr>
        <w:tc>
          <w:tcPr>
            <w:tcW w:type="dxa" w:w="2600"/>
            <w:shd w:fill="FAF6EC" w:color="auto" w:val="clear"/>
            <w:tcMar>
              <w:top w:type="dxa" w:w="80"/>
              <w:left w:type="dxa" w:w="120"/>
              <w:bottom w:type="dxa" w:w="80"/>
              <w:right w:type="dxa" w:w="120"/>
            </w:tcMar>
          </w:tcPr>
          <w:p>
            <w:r>
              <w:rPr>
                <w:rFonts w:ascii="Georgia" w:cs="Georgia" w:eastAsia="Georgia" w:hAnsi="Georgia"/>
                <w:b/>
                <w:bCs/>
                <w:color w:val="6B1F1F"/>
                <w:sz w:val="20"/>
                <w:szCs w:val="20"/>
              </w:rPr>
              <w:t xml:space="preserve">Included</w:t>
            </w:r>
          </w:p>
        </w:tc>
        <w:tc>
          <w:tcPr>
            <w:tcW w:type="dxa" w:w="6760"/>
            <w:shd w:fill="FAF6EC"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All FF&amp;E, kitchen &amp; bar equipment, all furnishings, historic artifacts — turnkey</w:t>
            </w:r>
          </w:p>
        </w:tc>
      </w:tr>
      <w:tr>
        <w:tc>
          <w:tcPr>
            <w:tcW w:type="dxa" w:w="2600"/>
            <w:shd w:fill="FFFFFF" w:color="auto" w:val="clear"/>
            <w:tcMar>
              <w:top w:type="dxa" w:w="80"/>
              <w:left w:type="dxa" w:w="120"/>
              <w:bottom w:type="dxa" w:w="80"/>
              <w:right w:type="dxa" w:w="120"/>
            </w:tcMar>
          </w:tcPr>
          <w:p>
            <w:r>
              <w:rPr>
                <w:rFonts w:ascii="Georgia" w:cs="Georgia" w:eastAsia="Georgia" w:hAnsi="Georgia"/>
                <w:b/>
                <w:bCs/>
                <w:color w:val="6B1F1F"/>
                <w:sz w:val="20"/>
                <w:szCs w:val="20"/>
              </w:rPr>
              <w:t xml:space="preserve">Financials</w:t>
            </w:r>
          </w:p>
        </w:tc>
        <w:tc>
          <w:tcPr>
            <w:tcW w:type="dxa" w:w="6760"/>
            <w:shd w:fill="FFFFFF" w:color="auto" w:val="clear"/>
            <w:tcMar>
              <w:top w:type="dxa" w:w="80"/>
              <w:left w:type="dxa" w:w="120"/>
              <w:bottom w:type="dxa" w:w="80"/>
              <w:right w:type="dxa" w:w="120"/>
            </w:tcMar>
          </w:tcPr>
          <w:p>
            <w:r>
              <w:rPr>
                <w:rFonts w:ascii="Georgia" w:cs="Georgia" w:eastAsia="Georgia" w:hAnsi="Georgia"/>
                <w:b w:val="false"/>
                <w:bCs w:val="false"/>
                <w:color w:val="222222"/>
                <w:sz w:val="20"/>
                <w:szCs w:val="20"/>
              </w:rPr>
              <w:t xml:space="preserve">Available to qualified buyers upon request (NDA)</w:t>
            </w:r>
          </w:p>
        </w:tc>
      </w:tr>
    </w:tbl>
    <w:p>
      <w:pPr>
        <w:spacing w:after="60" w:before="280"/>
      </w:pPr>
      <w:r>
        <w:rPr>
          <w:rFonts w:ascii="Georgia" w:cs="Georgia" w:eastAsia="Georgia" w:hAnsi="Georgia"/>
          <w:b/>
          <w:bCs/>
          <w:color w:val="6B1F1F"/>
          <w:sz w:val="22"/>
          <w:szCs w:val="22"/>
        </w:rPr>
        <w:t xml:space="preserve">Contact</w:t>
      </w:r>
    </w:p>
    <w:p>
      <w:pPr>
        <w:spacing w:after="20"/>
      </w:pPr>
      <w:r>
        <w:rPr>
          <w:rFonts w:ascii="Georgia" w:cs="Georgia" w:eastAsia="Georgia" w:hAnsi="Georgia"/>
          <w:b/>
          <w:bCs/>
          <w:color w:val="140C06"/>
          <w:sz w:val="21"/>
          <w:szCs w:val="21"/>
        </w:rPr>
        <w:t xml:space="preserve">Josh Mason</w:t>
      </w:r>
      <w:r>
        <w:rPr>
          <w:rFonts w:ascii="Georgia" w:cs="Georgia" w:eastAsia="Georgia" w:hAnsi="Georgia"/>
          <w:color w:val="444444"/>
          <w:sz w:val="21"/>
          <w:szCs w:val="21"/>
        </w:rPr>
        <w:t xml:space="preserve">  |  Wenzil Taylor Building, LLC</w:t>
      </w:r>
    </w:p>
    <w:p>
      <w:pPr>
        <w:spacing w:after="200"/>
      </w:pPr>
      <w:r>
        <w:rPr>
          <w:rFonts w:ascii="Georgia" w:cs="Georgia" w:eastAsia="Georgia" w:hAnsi="Georgia"/>
          <w:color w:val="444444"/>
          <w:sz w:val="21"/>
          <w:szCs w:val="21"/>
        </w:rPr>
        <w:t xml:space="preserve">josh@streamline1.com  •  319.929.1172</w:t>
      </w:r>
    </w:p>
    <w:p>
      <w:pPr>
        <w:pBdr>
          <w:top w:val="single" w:color="DDD3BE" w:sz="6" w:space="6"/>
        </w:pBdr>
        <w:spacing w:before="120"/>
      </w:pPr>
      <w:r>
        <w:rPr>
          <w:rFonts w:ascii="Georgia" w:cs="Georgia" w:eastAsia="Georgia" w:hAnsi="Georgia"/>
          <w:i/>
          <w:iCs/>
          <w:color w:val="999999"/>
          <w:sz w:val="15"/>
          <w:szCs w:val="15"/>
        </w:rPr>
        <w:t xml:space="preserve">All information deemed reliable but not guaranteed. Square footage, inventory, licensing, tax-credit eligibility, and historical claims (in part based on local lore) are approximate and subject to independent buyer verification. This document is confidential and provided solely for evaluation by qualified prospective buyers.</w:t>
      </w:r>
    </w:p>
    <w:sectPr>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2026-08-02T14:37:02.811Z</dcterms:created>
  <dcterms:modified xsi:type="dcterms:W3CDTF">2026-08-02T14:37:02.829Z</dcterms:modified>
</cp:coreProperties>
</file>

<file path=docProps/custom.xml><?xml version="1.0" encoding="utf-8"?>
<Properties xmlns="http://schemas.openxmlformats.org/officeDocument/2006/custom-properties" xmlns:vt="http://schemas.openxmlformats.org/officeDocument/2006/docPropsVTypes"/>
</file>